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AFBF1" w14:textId="7C12D49A" w:rsidR="007319C4" w:rsidRDefault="00EC031B" w:rsidP="00DF3B98">
      <w:pPr>
        <w:pStyle w:val="1Ttel"/>
      </w:pPr>
      <w:r>
        <w:rPr>
          <w:noProof/>
        </w:rPr>
        <w:drawing>
          <wp:anchor distT="0" distB="0" distL="114300" distR="114300" simplePos="0" relativeHeight="251664384" behindDoc="0" locked="0" layoutInCell="1" allowOverlap="1" wp14:anchorId="3DD3C691" wp14:editId="18547171">
            <wp:simplePos x="0" y="0"/>
            <wp:positionH relativeFrom="column">
              <wp:posOffset>5645150</wp:posOffset>
            </wp:positionH>
            <wp:positionV relativeFrom="paragraph">
              <wp:posOffset>108585</wp:posOffset>
            </wp:positionV>
            <wp:extent cx="542290" cy="54229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4A99BAEF" wp14:editId="2D74CC71">
            <wp:simplePos x="0" y="0"/>
            <wp:positionH relativeFrom="column">
              <wp:posOffset>4966335</wp:posOffset>
            </wp:positionH>
            <wp:positionV relativeFrom="paragraph">
              <wp:posOffset>107315</wp:posOffset>
            </wp:positionV>
            <wp:extent cx="542290" cy="54229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p>
    <w:p w14:paraId="0A00214C" w14:textId="6FE62261" w:rsidR="002B22F5" w:rsidRPr="00DF3B98" w:rsidRDefault="00E357DD" w:rsidP="000F1589">
      <w:pPr>
        <w:pStyle w:val="1Ttel"/>
        <w:jc w:val="left"/>
      </w:pPr>
      <w:r>
        <w:t>M</w:t>
      </w:r>
      <w:r w:rsidR="007319C4">
        <w:t xml:space="preserve">odul </w:t>
      </w:r>
      <w:r w:rsidR="00AA7922">
        <w:t>„</w:t>
      </w:r>
      <w:r w:rsidR="00D850F4">
        <w:t>Sachrechnen</w:t>
      </w:r>
      <w:r w:rsidR="0053708B">
        <w:t xml:space="preserve"> </w:t>
      </w:r>
      <w:r w:rsidR="00142A1C">
        <w:t>kompakt</w:t>
      </w:r>
      <w:r w:rsidR="0053708B">
        <w:t>“</w:t>
      </w:r>
    </w:p>
    <w:p w14:paraId="3578FDA9" w14:textId="41B8FA91" w:rsidR="000C141B" w:rsidRDefault="00197313" w:rsidP="00DF3B98">
      <w:pPr>
        <w:pStyle w:val="2Autoren"/>
      </w:pPr>
      <w:r>
        <w:t xml:space="preserve">Von </w:t>
      </w:r>
      <w:r w:rsidR="006478B1">
        <w:t>Leonie Ratte</w:t>
      </w:r>
      <w:r w:rsidR="00A74AB4">
        <w:rPr>
          <w:b/>
        </w:rPr>
        <w:t xml:space="preserve"> </w:t>
      </w:r>
      <w:r w:rsidR="0049678F">
        <w:t>und</w:t>
      </w:r>
      <w:r w:rsidR="006478B1">
        <w:rPr>
          <w:b/>
        </w:rPr>
        <w:t xml:space="preserve"> </w:t>
      </w:r>
      <w:r w:rsidR="006478B1">
        <w:t>Petra Scherer</w:t>
      </w:r>
      <w:r w:rsidR="00A74AB4" w:rsidRPr="00DF3B98">
        <w:t xml:space="preserve"> </w:t>
      </w:r>
      <w:r w:rsidR="009F47EB" w:rsidRPr="00DF3B98">
        <w:br/>
        <w:t xml:space="preserve">Projektleitung: </w:t>
      </w:r>
      <w:r w:rsidR="00073027">
        <w:t>Petra Scherer</w:t>
      </w:r>
      <w:r w:rsidR="00A62C16">
        <w:t xml:space="preserve">, Universität </w:t>
      </w:r>
      <w:r w:rsidR="000F1589">
        <w:t>Duisburg-Es</w:t>
      </w:r>
      <w:r w:rsidR="00192C11">
        <w:t>sen</w:t>
      </w:r>
      <w:r w:rsidR="001A65C1">
        <w:t xml:space="preserve"> &amp; </w:t>
      </w:r>
      <w:r w:rsidR="001A65C1" w:rsidRPr="00966D0E">
        <w:t>Marcus Nührenbörger</w:t>
      </w:r>
      <w:r w:rsidR="001A65C1">
        <w:t>, TU Dortmund</w:t>
      </w:r>
    </w:p>
    <w:p w14:paraId="39726133" w14:textId="3547104B" w:rsidR="005C6055" w:rsidRDefault="005C6055" w:rsidP="00DF3B98">
      <w:pPr>
        <w:pStyle w:val="2Autoren"/>
      </w:pPr>
    </w:p>
    <w:p w14:paraId="312DF2B7" w14:textId="1FC38542" w:rsidR="006574C6" w:rsidRDefault="00657E65" w:rsidP="00123A8A">
      <w:pPr>
        <w:pStyle w:val="3berschrift"/>
        <w:framePr w:wrap="around"/>
      </w:pPr>
      <w:r>
        <w:t>Möglicher Ablauf des Moduls</w:t>
      </w:r>
    </w:p>
    <w:p w14:paraId="664403DB" w14:textId="0655E3CB" w:rsidR="002F7E87" w:rsidRDefault="009A70D7" w:rsidP="004033E2">
      <w:pPr>
        <w:pStyle w:val="4Flietext"/>
      </w:pPr>
      <w:r>
        <w:br/>
      </w:r>
      <w:r w:rsidR="002F7E87" w:rsidRPr="006574C6">
        <w:t>Die</w:t>
      </w:r>
      <w:r w:rsidR="002F7E87">
        <w:t xml:space="preserve"> folgende </w:t>
      </w:r>
      <w:r w:rsidR="002F7E87" w:rsidRPr="006574C6">
        <w:t>Aufstellung entspricht dem</w:t>
      </w:r>
      <w:r w:rsidR="002F7E87">
        <w:t xml:space="preserve"> </w:t>
      </w:r>
      <w:r w:rsidR="002F7E87" w:rsidRPr="006574C6">
        <w:t>in der Praxis erprobten Modulablauf. Aufgrund des Aufbaus aus einzelnen Fortbildungsbausteinen sind auch andere Reihenfolgen/Fokussierungen denkbar</w:t>
      </w:r>
      <w:r w:rsidR="002F7E87">
        <w:t xml:space="preserve">. Zudem kann die Verbindlichkeit der Aufgaben für die </w:t>
      </w:r>
      <w:r w:rsidR="002F7E87" w:rsidRPr="00A63C50">
        <w:rPr>
          <w:color w:val="7F7F7F" w:themeColor="text1" w:themeTint="80"/>
        </w:rPr>
        <w:t>Distanzphasen</w:t>
      </w:r>
      <w:r w:rsidR="002F7E87">
        <w:t xml:space="preserve"> durch Webinare zwischen den </w:t>
      </w:r>
      <w:r w:rsidR="002F7E87" w:rsidRPr="00A63C50">
        <w:rPr>
          <w:color w:val="327A86" w:themeColor="text2"/>
        </w:rPr>
        <w:t>Präsenzterminen</w:t>
      </w:r>
      <w:r w:rsidR="002F7E87">
        <w:t xml:space="preserve"> gesteigert werden</w:t>
      </w:r>
      <w:r w:rsidR="002F7E87" w:rsidRPr="006574C6">
        <w:t>.</w:t>
      </w:r>
    </w:p>
    <w:p w14:paraId="3EBB7149" w14:textId="4797154C" w:rsidR="00785F50" w:rsidRDefault="00785F50" w:rsidP="00657E65">
      <w:pPr>
        <w:rPr>
          <w:rFonts w:ascii="Calibri" w:eastAsia="Times New Roman" w:hAnsi="Calibri" w:cs="Arial"/>
          <w:bCs/>
          <w:iCs/>
          <w:sz w:val="20"/>
          <w:szCs w:val="2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5958"/>
      </w:tblGrid>
      <w:tr w:rsidR="009303AF" w14:paraId="1F537B8D" w14:textId="77777777" w:rsidTr="00977042">
        <w:tc>
          <w:tcPr>
            <w:tcW w:w="846" w:type="dxa"/>
          </w:tcPr>
          <w:p w14:paraId="3FEEAE45" w14:textId="56CD4346" w:rsidR="009303AF" w:rsidRDefault="009303AF" w:rsidP="00657E65">
            <w:pPr>
              <w:rPr>
                <w:rFonts w:ascii="Calibri" w:hAnsi="Calibri" w:cs="Arial"/>
                <w:bCs/>
                <w:iCs/>
                <w:sz w:val="20"/>
                <w:szCs w:val="28"/>
              </w:rPr>
            </w:pPr>
            <w:r>
              <w:rPr>
                <w:noProof/>
                <w:color w:val="327A86"/>
                <w:sz w:val="8"/>
                <w:szCs w:val="8"/>
              </w:rPr>
              <w:drawing>
                <wp:anchor distT="0" distB="0" distL="114300" distR="114300" simplePos="0" relativeHeight="251660288" behindDoc="0" locked="0" layoutInCell="1" allowOverlap="1" wp14:anchorId="53D6AF6D" wp14:editId="1664029D">
                  <wp:simplePos x="0" y="0"/>
                  <wp:positionH relativeFrom="column">
                    <wp:posOffset>1905</wp:posOffset>
                  </wp:positionH>
                  <wp:positionV relativeFrom="paragraph">
                    <wp:posOffset>374015</wp:posOffset>
                  </wp:positionV>
                  <wp:extent cx="333333" cy="360000"/>
                  <wp:effectExtent l="0" t="0" r="0" b="2540"/>
                  <wp:wrapSquare wrapText="bothSides"/>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33333" cy="360000"/>
                          </a:xfrm>
                          <a:prstGeom prst="rect">
                            <a:avLst/>
                          </a:prstGeom>
                          <a:noFill/>
                        </pic:spPr>
                      </pic:pic>
                    </a:graphicData>
                  </a:graphic>
                </wp:anchor>
              </w:drawing>
            </w:r>
          </w:p>
        </w:tc>
        <w:tc>
          <w:tcPr>
            <w:tcW w:w="5958" w:type="dxa"/>
          </w:tcPr>
          <w:p w14:paraId="301AD1FA" w14:textId="476F789E" w:rsidR="004B075C" w:rsidRPr="0049678F" w:rsidRDefault="004B075C" w:rsidP="005C3648">
            <w:pPr>
              <w:pStyle w:val="3aMiniberschrift"/>
              <w:ind w:left="174"/>
              <w:rPr>
                <w:color w:val="327A86"/>
                <w:sz w:val="20"/>
              </w:rPr>
            </w:pPr>
            <w:r w:rsidRPr="0049678F">
              <w:rPr>
                <w:color w:val="327A86"/>
                <w:sz w:val="20"/>
              </w:rPr>
              <w:t>Sandwich-Phasen</w:t>
            </w:r>
          </w:p>
          <w:p w14:paraId="75660587" w14:textId="77777777" w:rsidR="004B075C" w:rsidRDefault="004B075C" w:rsidP="005C3648">
            <w:pPr>
              <w:pStyle w:val="3aMiniberschrift"/>
              <w:ind w:left="174"/>
            </w:pPr>
          </w:p>
          <w:p w14:paraId="0F42D0D1" w14:textId="2F0363DD" w:rsidR="00AD0262" w:rsidRPr="00800CFE" w:rsidRDefault="00AD0262" w:rsidP="005C3648">
            <w:pPr>
              <w:pStyle w:val="3aMiniberschrift"/>
              <w:ind w:left="174"/>
              <w:rPr>
                <w:sz w:val="20"/>
              </w:rPr>
            </w:pPr>
            <w:r w:rsidRPr="00800CFE">
              <w:rPr>
                <w:sz w:val="20"/>
              </w:rPr>
              <w:t>Baustein 1</w:t>
            </w:r>
            <w:r w:rsidR="00DB7DCC" w:rsidRPr="00800CFE">
              <w:rPr>
                <w:sz w:val="20"/>
              </w:rPr>
              <w:t xml:space="preserve"> | Einstieg</w:t>
            </w:r>
          </w:p>
          <w:p w14:paraId="4178D6D6" w14:textId="77777777" w:rsidR="00C817C6" w:rsidRDefault="00AD0262" w:rsidP="005C3648">
            <w:pPr>
              <w:pStyle w:val="4Flietext"/>
              <w:ind w:left="174"/>
            </w:pPr>
            <w:r>
              <w:t>Einstieg in das Thema Sachrechnen im Mathematikunterricht der Grundschule</w:t>
            </w:r>
          </w:p>
          <w:p w14:paraId="1E20255C" w14:textId="77777777" w:rsidR="00C817C6" w:rsidRDefault="00C817C6" w:rsidP="005C3648">
            <w:pPr>
              <w:pStyle w:val="4Flietext"/>
              <w:ind w:left="174"/>
            </w:pPr>
          </w:p>
          <w:p w14:paraId="42A06BC7" w14:textId="65EF0859" w:rsidR="004B075C" w:rsidRDefault="004B075C" w:rsidP="005C3648">
            <w:pPr>
              <w:pStyle w:val="4Flietext"/>
              <w:ind w:left="174"/>
            </w:pPr>
          </w:p>
        </w:tc>
      </w:tr>
      <w:tr w:rsidR="009303AF" w14:paraId="4E865917" w14:textId="77777777" w:rsidTr="009A70D7">
        <w:trPr>
          <w:trHeight w:val="1102"/>
        </w:trPr>
        <w:tc>
          <w:tcPr>
            <w:tcW w:w="846" w:type="dxa"/>
          </w:tcPr>
          <w:p w14:paraId="60B783EC" w14:textId="5FDC127B" w:rsidR="009303AF" w:rsidRDefault="009303AF" w:rsidP="00657E65">
            <w:pPr>
              <w:rPr>
                <w:rFonts w:ascii="Calibri" w:hAnsi="Calibri" w:cs="Arial"/>
                <w:bCs/>
                <w:iCs/>
                <w:sz w:val="20"/>
                <w:szCs w:val="28"/>
              </w:rPr>
            </w:pPr>
            <w:r>
              <w:rPr>
                <w:b/>
                <w:noProof/>
                <w:color w:val="F8B44F" w:themeColor="accent2"/>
                <w:sz w:val="44"/>
                <w:szCs w:val="44"/>
              </w:rPr>
              <w:drawing>
                <wp:anchor distT="0" distB="0" distL="114300" distR="114300" simplePos="0" relativeHeight="251661312" behindDoc="0" locked="0" layoutInCell="1" allowOverlap="1" wp14:anchorId="2583E253" wp14:editId="64B2C930">
                  <wp:simplePos x="0" y="0"/>
                  <wp:positionH relativeFrom="column">
                    <wp:posOffset>7620</wp:posOffset>
                  </wp:positionH>
                  <wp:positionV relativeFrom="paragraph">
                    <wp:posOffset>69215</wp:posOffset>
                  </wp:positionV>
                  <wp:extent cx="327600" cy="413322"/>
                  <wp:effectExtent l="0" t="0" r="0" b="6350"/>
                  <wp:wrapSquare wrapText="bothSides"/>
                  <wp:docPr id="1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7600" cy="413322"/>
                          </a:xfrm>
                          <a:prstGeom prst="rect">
                            <a:avLst/>
                          </a:prstGeom>
                          <a:noFill/>
                        </pic:spPr>
                      </pic:pic>
                    </a:graphicData>
                  </a:graphic>
                </wp:anchor>
              </w:drawing>
            </w:r>
          </w:p>
        </w:tc>
        <w:tc>
          <w:tcPr>
            <w:tcW w:w="5958" w:type="dxa"/>
          </w:tcPr>
          <w:p w14:paraId="68DFD168" w14:textId="77777777" w:rsidR="00AD0262" w:rsidRPr="00800CFE" w:rsidRDefault="00AD0262" w:rsidP="005C3648">
            <w:pPr>
              <w:pStyle w:val="3aMiniberschrift"/>
              <w:ind w:left="174"/>
              <w:rPr>
                <w:sz w:val="20"/>
              </w:rPr>
            </w:pPr>
            <w:r w:rsidRPr="00800CFE">
              <w:rPr>
                <w:sz w:val="20"/>
              </w:rPr>
              <w:t>Distanzphase</w:t>
            </w:r>
          </w:p>
          <w:p w14:paraId="277FBF3D" w14:textId="3E3AB133" w:rsidR="0041309B" w:rsidRPr="009303AF" w:rsidRDefault="00AD0262" w:rsidP="005C3648">
            <w:pPr>
              <w:pStyle w:val="4Flietext"/>
              <w:ind w:left="174"/>
            </w:pPr>
            <w:r>
              <w:t xml:space="preserve">Durchführung einer vorbereitenden Distanzaufgabe </w:t>
            </w:r>
          </w:p>
          <w:p w14:paraId="7B4CDB4F" w14:textId="77777777" w:rsidR="009303AF" w:rsidRDefault="009303AF" w:rsidP="005C3648">
            <w:pPr>
              <w:pStyle w:val="4Flietext"/>
              <w:ind w:left="174"/>
            </w:pPr>
          </w:p>
        </w:tc>
      </w:tr>
      <w:tr w:rsidR="009303AF" w14:paraId="7BD51E6F" w14:textId="77777777" w:rsidTr="00977042">
        <w:trPr>
          <w:trHeight w:val="80"/>
        </w:trPr>
        <w:tc>
          <w:tcPr>
            <w:tcW w:w="846" w:type="dxa"/>
          </w:tcPr>
          <w:p w14:paraId="131496B5" w14:textId="43073D0C" w:rsidR="009303AF" w:rsidRDefault="009303AF" w:rsidP="00657E65">
            <w:pPr>
              <w:rPr>
                <w:rFonts w:ascii="Calibri" w:hAnsi="Calibri" w:cs="Arial"/>
                <w:bCs/>
                <w:iCs/>
                <w:sz w:val="20"/>
                <w:szCs w:val="28"/>
              </w:rPr>
            </w:pPr>
            <w:r>
              <w:rPr>
                <w:b/>
                <w:noProof/>
                <w:color w:val="327A86" w:themeColor="text2"/>
                <w:sz w:val="8"/>
                <w:szCs w:val="8"/>
              </w:rPr>
              <w:drawing>
                <wp:anchor distT="0" distB="0" distL="114300" distR="114300" simplePos="0" relativeHeight="251662336" behindDoc="0" locked="0" layoutInCell="1" allowOverlap="1" wp14:anchorId="4A19B4BC" wp14:editId="3027EF8C">
                  <wp:simplePos x="0" y="0"/>
                  <wp:positionH relativeFrom="column">
                    <wp:posOffset>1905</wp:posOffset>
                  </wp:positionH>
                  <wp:positionV relativeFrom="paragraph">
                    <wp:posOffset>80010</wp:posOffset>
                  </wp:positionV>
                  <wp:extent cx="321796" cy="331986"/>
                  <wp:effectExtent l="0" t="0" r="2540" b="0"/>
                  <wp:wrapSquare wrapText="bothSides"/>
                  <wp:docPr id="24"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1796" cy="331986"/>
                          </a:xfrm>
                          <a:prstGeom prst="rect">
                            <a:avLst/>
                          </a:prstGeom>
                          <a:noFill/>
                        </pic:spPr>
                      </pic:pic>
                    </a:graphicData>
                  </a:graphic>
                </wp:anchor>
              </w:drawing>
            </w:r>
          </w:p>
        </w:tc>
        <w:tc>
          <w:tcPr>
            <w:tcW w:w="5958" w:type="dxa"/>
          </w:tcPr>
          <w:p w14:paraId="3C5EA2AF" w14:textId="5D7C5ABE" w:rsidR="00AD0262" w:rsidRPr="00800CFE" w:rsidRDefault="00D80E23" w:rsidP="005C3648">
            <w:pPr>
              <w:pStyle w:val="3aMiniberschrift"/>
              <w:ind w:left="174"/>
              <w:rPr>
                <w:sz w:val="20"/>
              </w:rPr>
            </w:pPr>
            <w:r w:rsidRPr="00800CFE">
              <w:rPr>
                <w:sz w:val="20"/>
              </w:rPr>
              <w:t>Baustein 2</w:t>
            </w:r>
            <w:r w:rsidR="00DB7DCC" w:rsidRPr="00800CFE">
              <w:rPr>
                <w:sz w:val="20"/>
              </w:rPr>
              <w:t xml:space="preserve"> | Unterricht</w:t>
            </w:r>
          </w:p>
          <w:p w14:paraId="17E65EF2" w14:textId="28109E51" w:rsidR="009303AF" w:rsidRDefault="00AD0262" w:rsidP="005C3648">
            <w:pPr>
              <w:pStyle w:val="4Flietext"/>
              <w:ind w:left="174"/>
            </w:pPr>
            <w:r>
              <w:t>Auseinandersetzung mit dem</w:t>
            </w:r>
            <w:r w:rsidR="006E1AE2">
              <w:t xml:space="preserve"> Modellbildungsprozess</w:t>
            </w:r>
            <w:r w:rsidR="00D80E23" w:rsidRPr="009303AF">
              <w:t xml:space="preserve"> </w:t>
            </w:r>
            <w:r w:rsidR="006E1AE2">
              <w:t>sowie</w:t>
            </w:r>
            <w:r>
              <w:t xml:space="preserve"> </w:t>
            </w:r>
            <w:r w:rsidR="006E1AE2">
              <w:t xml:space="preserve">mit den </w:t>
            </w:r>
            <w:r w:rsidR="00D80E23" w:rsidRPr="009303AF">
              <w:t>zentrale</w:t>
            </w:r>
            <w:r>
              <w:t>n</w:t>
            </w:r>
            <w:r w:rsidR="00D80E23" w:rsidRPr="009303AF">
              <w:t xml:space="preserve"> Gestaltungsprinzipien für den Umgan</w:t>
            </w:r>
            <w:r w:rsidR="00047DEE">
              <w:t>g mit kontext</w:t>
            </w:r>
            <w:r w:rsidR="009A70D7">
              <w:t>-</w:t>
            </w:r>
            <w:r w:rsidR="00047DEE">
              <w:t>bezogenen Aufgaben</w:t>
            </w:r>
          </w:p>
        </w:tc>
      </w:tr>
    </w:tbl>
    <w:p w14:paraId="5543FBA8" w14:textId="446D7DE3" w:rsidR="009A3DA2" w:rsidRPr="00C817C6" w:rsidRDefault="009303AF" w:rsidP="00C817C6">
      <w:pPr>
        <w:rPr>
          <w:rFonts w:ascii="Calibri" w:eastAsia="Times New Roman" w:hAnsi="Calibri" w:cs="Arial"/>
          <w:bCs/>
          <w:iCs/>
          <w:sz w:val="20"/>
          <w:szCs w:val="28"/>
        </w:rPr>
      </w:pPr>
      <w:r>
        <w:rPr>
          <w:rFonts w:ascii="Calibri" w:eastAsia="Times New Roman" w:hAnsi="Calibri" w:cs="Arial"/>
          <w:bCs/>
          <w:iCs/>
          <w:sz w:val="20"/>
          <w:szCs w:val="28"/>
        </w:rPr>
        <w:t xml:space="preserve"> </w:t>
      </w:r>
    </w:p>
    <w:p w14:paraId="465F3DB5" w14:textId="32B3C3A1" w:rsidR="009A3DA2" w:rsidRPr="00267B44" w:rsidRDefault="00267B44" w:rsidP="00C02FD6">
      <w:pPr>
        <w:spacing w:after="0"/>
        <w:contextualSpacing w:val="0"/>
        <w:jc w:val="both"/>
        <w:rPr>
          <w:rFonts w:ascii="Calibri" w:eastAsia="Times New Roman" w:hAnsi="Calibri" w:cs="Arial"/>
          <w:b/>
          <w:bCs/>
          <w:iCs/>
          <w:sz w:val="22"/>
          <w:szCs w:val="22"/>
        </w:rPr>
      </w:pPr>
      <w:r>
        <w:rPr>
          <w:rFonts w:ascii="Calibri" w:eastAsia="Times New Roman" w:hAnsi="Calibri" w:cs="Arial"/>
          <w:b/>
          <w:bCs/>
          <w:iCs/>
          <w:sz w:val="22"/>
          <w:szCs w:val="22"/>
        </w:rPr>
        <w:t xml:space="preserve">A: </w:t>
      </w:r>
      <w:r w:rsidR="009A3DA2" w:rsidRPr="00267B44">
        <w:rPr>
          <w:rFonts w:ascii="Calibri" w:eastAsia="Times New Roman" w:hAnsi="Calibri" w:cs="Arial"/>
          <w:b/>
          <w:bCs/>
          <w:iCs/>
          <w:sz w:val="22"/>
          <w:szCs w:val="22"/>
        </w:rPr>
        <w:t xml:space="preserve">Kombination </w:t>
      </w:r>
      <w:r w:rsidRPr="00267B44">
        <w:rPr>
          <w:rFonts w:ascii="Calibri" w:eastAsia="Times New Roman" w:hAnsi="Calibri" w:cs="Arial"/>
          <w:b/>
          <w:bCs/>
          <w:iCs/>
          <w:sz w:val="22"/>
          <w:szCs w:val="22"/>
        </w:rPr>
        <w:t>bei</w:t>
      </w:r>
      <w:r>
        <w:rPr>
          <w:rFonts w:ascii="Calibri" w:eastAsia="Times New Roman" w:hAnsi="Calibri" w:cs="Arial"/>
          <w:b/>
          <w:bCs/>
          <w:iCs/>
          <w:sz w:val="22"/>
          <w:szCs w:val="22"/>
        </w:rPr>
        <w:t xml:space="preserve">der Bausteine </w:t>
      </w:r>
      <w:r w:rsidR="009A3DA2" w:rsidRPr="00267B44">
        <w:rPr>
          <w:rFonts w:ascii="Calibri" w:eastAsia="Times New Roman" w:hAnsi="Calibri" w:cs="Arial"/>
          <w:b/>
          <w:bCs/>
          <w:iCs/>
          <w:sz w:val="22"/>
          <w:szCs w:val="22"/>
        </w:rPr>
        <w:t>im Rahmen des Sandwichmodells:</w:t>
      </w:r>
    </w:p>
    <w:p w14:paraId="7B9CFC48" w14:textId="0FC7A624" w:rsidR="009A3DA2" w:rsidRPr="00DB7DCC" w:rsidRDefault="009A3DA2" w:rsidP="009A70D7">
      <w:pPr>
        <w:pStyle w:val="Listenabsatz"/>
        <w:numPr>
          <w:ilvl w:val="0"/>
          <w:numId w:val="26"/>
        </w:numPr>
        <w:spacing w:after="0"/>
        <w:ind w:left="284" w:hanging="284"/>
        <w:contextualSpacing w:val="0"/>
        <w:jc w:val="both"/>
        <w:rPr>
          <w:rFonts w:asciiTheme="majorHAnsi" w:eastAsia="Times New Roman" w:hAnsiTheme="majorHAnsi" w:cstheme="majorHAnsi"/>
          <w:bCs/>
          <w:iCs/>
          <w:sz w:val="20"/>
          <w:szCs w:val="20"/>
        </w:rPr>
      </w:pPr>
      <w:r w:rsidRPr="00DB7DCC">
        <w:rPr>
          <w:rFonts w:asciiTheme="majorHAnsi" w:eastAsia="Times New Roman" w:hAnsiTheme="majorHAnsi" w:cstheme="majorHAnsi"/>
          <w:bCs/>
          <w:iCs/>
          <w:sz w:val="20"/>
          <w:szCs w:val="20"/>
        </w:rPr>
        <w:t xml:space="preserve">Die </w:t>
      </w:r>
      <w:r w:rsidRPr="00DB7DCC">
        <w:rPr>
          <w:rFonts w:asciiTheme="majorHAnsi" w:eastAsia="Times New Roman" w:hAnsiTheme="majorHAnsi" w:cstheme="majorHAnsi"/>
          <w:b/>
          <w:bCs/>
          <w:iCs/>
          <w:sz w:val="20"/>
          <w:szCs w:val="20"/>
        </w:rPr>
        <w:t>Bausteine</w:t>
      </w:r>
      <w:r w:rsidRPr="00DB7DCC">
        <w:rPr>
          <w:rFonts w:asciiTheme="majorHAnsi" w:eastAsia="Times New Roman" w:hAnsiTheme="majorHAnsi" w:cstheme="majorHAnsi"/>
          <w:bCs/>
          <w:iCs/>
          <w:sz w:val="20"/>
          <w:szCs w:val="20"/>
        </w:rPr>
        <w:t xml:space="preserve"> </w:t>
      </w:r>
      <w:r w:rsidR="00721C8E" w:rsidRPr="00DB7DCC">
        <w:rPr>
          <w:rFonts w:asciiTheme="majorHAnsi" w:eastAsia="Times New Roman" w:hAnsiTheme="majorHAnsi" w:cstheme="majorHAnsi"/>
          <w:b/>
          <w:bCs/>
          <w:iCs/>
          <w:sz w:val="20"/>
          <w:szCs w:val="20"/>
        </w:rPr>
        <w:t>1 und 2</w:t>
      </w:r>
      <w:r w:rsidRPr="00DB7DCC">
        <w:rPr>
          <w:rFonts w:asciiTheme="majorHAnsi" w:eastAsia="Times New Roman" w:hAnsiTheme="majorHAnsi" w:cstheme="majorHAnsi"/>
          <w:bCs/>
          <w:iCs/>
          <w:sz w:val="20"/>
          <w:szCs w:val="20"/>
        </w:rPr>
        <w:t xml:space="preserve"> können jeweils </w:t>
      </w:r>
      <w:r w:rsidRPr="00DB7DCC">
        <w:rPr>
          <w:rFonts w:asciiTheme="majorHAnsi" w:eastAsia="Times New Roman" w:hAnsiTheme="majorHAnsi" w:cstheme="majorHAnsi"/>
          <w:b/>
          <w:bCs/>
          <w:iCs/>
          <w:sz w:val="20"/>
          <w:szCs w:val="20"/>
        </w:rPr>
        <w:t xml:space="preserve">in Kombination mit </w:t>
      </w:r>
      <w:r w:rsidR="00721C8E" w:rsidRPr="00DB7DCC">
        <w:rPr>
          <w:rFonts w:asciiTheme="majorHAnsi" w:eastAsia="Times New Roman" w:hAnsiTheme="majorHAnsi" w:cstheme="majorHAnsi"/>
          <w:b/>
          <w:bCs/>
          <w:iCs/>
          <w:sz w:val="20"/>
          <w:szCs w:val="20"/>
        </w:rPr>
        <w:t xml:space="preserve">einem Baustein eines </w:t>
      </w:r>
      <w:r w:rsidRPr="00DB7DCC">
        <w:rPr>
          <w:rFonts w:asciiTheme="majorHAnsi" w:eastAsia="Times New Roman" w:hAnsiTheme="majorHAnsi" w:cstheme="majorHAnsi"/>
          <w:b/>
          <w:bCs/>
          <w:iCs/>
          <w:sz w:val="20"/>
          <w:szCs w:val="20"/>
        </w:rPr>
        <w:t>anderen Moduls</w:t>
      </w:r>
      <w:r w:rsidR="006478B1" w:rsidRPr="00DB7DCC">
        <w:rPr>
          <w:rFonts w:asciiTheme="majorHAnsi" w:eastAsia="Times New Roman" w:hAnsiTheme="majorHAnsi" w:cstheme="majorHAnsi"/>
          <w:bCs/>
          <w:iCs/>
          <w:sz w:val="20"/>
          <w:szCs w:val="20"/>
        </w:rPr>
        <w:t xml:space="preserve"> umgesetzt</w:t>
      </w:r>
      <w:r w:rsidRPr="00DB7DCC">
        <w:rPr>
          <w:rFonts w:asciiTheme="majorHAnsi" w:eastAsia="Times New Roman" w:hAnsiTheme="majorHAnsi" w:cstheme="majorHAnsi"/>
          <w:bCs/>
          <w:iCs/>
          <w:sz w:val="20"/>
          <w:szCs w:val="20"/>
        </w:rPr>
        <w:t xml:space="preserve"> werden. </w:t>
      </w:r>
      <w:r w:rsidR="00BF7F58" w:rsidRPr="00DB7DCC">
        <w:rPr>
          <w:rFonts w:asciiTheme="majorHAnsi" w:hAnsiTheme="majorHAnsi" w:cstheme="majorHAnsi"/>
          <w:sz w:val="20"/>
          <w:szCs w:val="20"/>
        </w:rPr>
        <w:t xml:space="preserve"> </w:t>
      </w:r>
      <w:r w:rsidR="00BF7F58" w:rsidRPr="00DB7DCC">
        <w:rPr>
          <w:rFonts w:asciiTheme="majorHAnsi" w:eastAsia="Times New Roman" w:hAnsiTheme="majorHAnsi" w:cstheme="majorHAnsi"/>
          <w:bCs/>
          <w:iCs/>
          <w:sz w:val="20"/>
          <w:szCs w:val="20"/>
        </w:rPr>
        <w:t>Hier wäre eine Verknüpfung mit einem Modul sinnvoll, in welchem Operationsvorstellungen behandelt werden. Bei einer solchen Durchführung könnten als verbindendes Element bspw. die Grundsituationen der Subtraktion anhand eines Sachbildes thematisiert werden. Zwischen den beiden Präsenztagen kann ein Arbeitsauftrag zur Vertiefung des ersten Bausteins oder zur Vorbereitung des zweiten Bausteins gestellt werden.</w:t>
      </w:r>
    </w:p>
    <w:p w14:paraId="6D97E0AF" w14:textId="77777777" w:rsidR="00203A04" w:rsidRPr="002A12A6" w:rsidRDefault="00203A04" w:rsidP="001270BD">
      <w:pPr>
        <w:pStyle w:val="Listenabsatz"/>
        <w:spacing w:after="0"/>
        <w:ind w:left="360"/>
        <w:contextualSpacing w:val="0"/>
        <w:rPr>
          <w:rFonts w:ascii="Calibri" w:eastAsia="Times New Roman" w:hAnsi="Calibri" w:cs="Arial"/>
          <w:bCs/>
          <w:iCs/>
          <w:sz w:val="20"/>
          <w:szCs w:val="20"/>
        </w:rPr>
      </w:pPr>
    </w:p>
    <w:p w14:paraId="786605C9" w14:textId="7EB227AD" w:rsidR="00E62295" w:rsidRPr="00267B44" w:rsidRDefault="00E62295" w:rsidP="009A70D7">
      <w:pPr>
        <w:spacing w:after="0"/>
        <w:ind w:left="284" w:hanging="284"/>
        <w:contextualSpacing w:val="0"/>
        <w:rPr>
          <w:rFonts w:ascii="Calibri" w:eastAsia="Times New Roman" w:hAnsi="Calibri" w:cs="Arial"/>
          <w:b/>
          <w:bCs/>
          <w:iCs/>
          <w:sz w:val="22"/>
          <w:szCs w:val="22"/>
        </w:rPr>
      </w:pPr>
      <w:r>
        <w:rPr>
          <w:rFonts w:ascii="Calibri" w:eastAsia="Times New Roman" w:hAnsi="Calibri" w:cs="Arial"/>
          <w:b/>
          <w:bCs/>
          <w:iCs/>
          <w:sz w:val="22"/>
          <w:szCs w:val="22"/>
        </w:rPr>
        <w:t>B</w:t>
      </w:r>
      <w:r w:rsidR="00464FD6">
        <w:rPr>
          <w:rFonts w:ascii="Calibri" w:eastAsia="Times New Roman" w:hAnsi="Calibri" w:cs="Arial"/>
          <w:b/>
          <w:bCs/>
          <w:iCs/>
          <w:sz w:val="22"/>
          <w:szCs w:val="22"/>
        </w:rPr>
        <w:t>:</w:t>
      </w:r>
      <w:r w:rsidR="009A70D7">
        <w:rPr>
          <w:rFonts w:ascii="Calibri" w:eastAsia="Times New Roman" w:hAnsi="Calibri" w:cs="Arial"/>
          <w:b/>
          <w:bCs/>
          <w:iCs/>
          <w:sz w:val="22"/>
          <w:szCs w:val="22"/>
        </w:rPr>
        <w:t xml:space="preserve"> </w:t>
      </w:r>
      <w:r w:rsidR="00464FD6" w:rsidRPr="006C31AF">
        <w:rPr>
          <w:rFonts w:ascii="Calibri" w:eastAsia="Times New Roman" w:hAnsi="Calibri" w:cs="Arial"/>
          <w:b/>
          <w:bCs/>
          <w:iCs/>
          <w:spacing w:val="-4"/>
          <w:w w:val="1"/>
          <w:sz w:val="22"/>
          <w:szCs w:val="22"/>
        </w:rPr>
        <w:t xml:space="preserve"> </w:t>
      </w:r>
      <w:r w:rsidRPr="00267B44">
        <w:rPr>
          <w:rFonts w:ascii="Calibri" w:eastAsia="Times New Roman" w:hAnsi="Calibri" w:cs="Arial"/>
          <w:b/>
          <w:bCs/>
          <w:iCs/>
          <w:sz w:val="22"/>
          <w:szCs w:val="22"/>
        </w:rPr>
        <w:t>Kombination bei</w:t>
      </w:r>
      <w:r>
        <w:rPr>
          <w:rFonts w:ascii="Calibri" w:eastAsia="Times New Roman" w:hAnsi="Calibri" w:cs="Arial"/>
          <w:b/>
          <w:bCs/>
          <w:iCs/>
          <w:sz w:val="22"/>
          <w:szCs w:val="22"/>
        </w:rPr>
        <w:t xml:space="preserve">der Bausteine </w:t>
      </w:r>
      <w:r w:rsidRPr="00267B44">
        <w:rPr>
          <w:rFonts w:ascii="Calibri" w:eastAsia="Times New Roman" w:hAnsi="Calibri" w:cs="Arial"/>
          <w:b/>
          <w:bCs/>
          <w:iCs/>
          <w:sz w:val="22"/>
          <w:szCs w:val="22"/>
        </w:rPr>
        <w:t xml:space="preserve">im Rahmen </w:t>
      </w:r>
      <w:r w:rsidR="00073D81" w:rsidRPr="001270BD">
        <w:rPr>
          <w:rFonts w:ascii="Calibri" w:eastAsia="Times New Roman" w:hAnsi="Calibri" w:cs="Arial"/>
          <w:b/>
          <w:bCs/>
          <w:iCs/>
          <w:sz w:val="22"/>
          <w:szCs w:val="28"/>
        </w:rPr>
        <w:t>ein</w:t>
      </w:r>
      <w:r w:rsidR="009A70D7">
        <w:rPr>
          <w:rFonts w:ascii="Calibri" w:eastAsia="Times New Roman" w:hAnsi="Calibri" w:cs="Arial"/>
          <w:b/>
          <w:bCs/>
          <w:iCs/>
          <w:sz w:val="22"/>
          <w:szCs w:val="28"/>
        </w:rPr>
        <w:t xml:space="preserve">es Präsenztages innerhalb einer </w:t>
      </w:r>
      <w:r w:rsidR="00073D81" w:rsidRPr="001270BD">
        <w:rPr>
          <w:rFonts w:ascii="Calibri" w:eastAsia="Times New Roman" w:hAnsi="Calibri" w:cs="Arial"/>
          <w:b/>
          <w:bCs/>
          <w:iCs/>
          <w:sz w:val="22"/>
          <w:szCs w:val="28"/>
        </w:rPr>
        <w:t>mehrtägigen Fortbildungsmaßnahme:</w:t>
      </w:r>
    </w:p>
    <w:p w14:paraId="35A76BEF" w14:textId="13A91ECC" w:rsidR="00E62295" w:rsidRPr="00DB7DCC" w:rsidRDefault="00E62295" w:rsidP="009A70D7">
      <w:pPr>
        <w:pStyle w:val="Listenabsatz"/>
        <w:numPr>
          <w:ilvl w:val="0"/>
          <w:numId w:val="26"/>
        </w:numPr>
        <w:spacing w:after="0"/>
        <w:ind w:left="284" w:hanging="284"/>
        <w:contextualSpacing w:val="0"/>
        <w:jc w:val="both"/>
        <w:rPr>
          <w:rFonts w:asciiTheme="majorHAnsi" w:eastAsia="Times New Roman" w:hAnsiTheme="majorHAnsi" w:cstheme="majorHAnsi"/>
          <w:bCs/>
          <w:iCs/>
          <w:sz w:val="20"/>
          <w:szCs w:val="20"/>
        </w:rPr>
      </w:pPr>
      <w:r w:rsidRPr="00DB7DCC">
        <w:rPr>
          <w:rFonts w:asciiTheme="majorHAnsi" w:eastAsia="Times New Roman" w:hAnsiTheme="majorHAnsi" w:cstheme="majorHAnsi"/>
          <w:bCs/>
          <w:iCs/>
          <w:sz w:val="20"/>
          <w:szCs w:val="20"/>
        </w:rPr>
        <w:t xml:space="preserve">Es erfolgt zunächst ein Einstieg in das Thema. Anschließend werden die </w:t>
      </w:r>
      <w:r w:rsidRPr="00DB7DCC">
        <w:rPr>
          <w:rFonts w:asciiTheme="majorHAnsi" w:eastAsia="Times New Roman" w:hAnsiTheme="majorHAnsi" w:cstheme="majorHAnsi"/>
          <w:b/>
          <w:bCs/>
          <w:iCs/>
          <w:sz w:val="20"/>
          <w:szCs w:val="20"/>
        </w:rPr>
        <w:t xml:space="preserve">Bausteine 1 und 2 </w:t>
      </w:r>
      <w:r w:rsidRPr="00DB7DCC">
        <w:rPr>
          <w:rFonts w:asciiTheme="majorHAnsi" w:eastAsia="Times New Roman" w:hAnsiTheme="majorHAnsi" w:cstheme="majorHAnsi"/>
          <w:bCs/>
          <w:iCs/>
          <w:sz w:val="20"/>
          <w:szCs w:val="20"/>
        </w:rPr>
        <w:t xml:space="preserve">des </w:t>
      </w:r>
      <w:r>
        <w:rPr>
          <w:rFonts w:asciiTheme="majorHAnsi" w:eastAsia="Times New Roman" w:hAnsiTheme="majorHAnsi" w:cstheme="majorHAnsi"/>
          <w:b/>
          <w:bCs/>
          <w:iCs/>
          <w:sz w:val="20"/>
          <w:szCs w:val="20"/>
        </w:rPr>
        <w:t>Moduls „</w:t>
      </w:r>
      <w:r w:rsidRPr="00DB7DCC">
        <w:rPr>
          <w:rFonts w:asciiTheme="majorHAnsi" w:eastAsia="Times New Roman" w:hAnsiTheme="majorHAnsi" w:cstheme="majorHAnsi"/>
          <w:b/>
          <w:bCs/>
          <w:iCs/>
          <w:sz w:val="20"/>
          <w:szCs w:val="20"/>
        </w:rPr>
        <w:t xml:space="preserve">Sachrechnen im Mathematikunterricht der </w:t>
      </w:r>
      <w:r>
        <w:rPr>
          <w:rFonts w:asciiTheme="majorHAnsi" w:eastAsia="Times New Roman" w:hAnsiTheme="majorHAnsi" w:cstheme="majorHAnsi"/>
          <w:b/>
          <w:bCs/>
          <w:iCs/>
          <w:sz w:val="20"/>
          <w:szCs w:val="20"/>
        </w:rPr>
        <w:t>Grundschule“</w:t>
      </w:r>
      <w:r w:rsidRPr="00DB7DCC">
        <w:rPr>
          <w:rFonts w:asciiTheme="majorHAnsi" w:eastAsia="Times New Roman" w:hAnsiTheme="majorHAnsi" w:cstheme="majorHAnsi"/>
          <w:bCs/>
          <w:iCs/>
          <w:sz w:val="20"/>
          <w:szCs w:val="20"/>
        </w:rPr>
        <w:t xml:space="preserve"> </w:t>
      </w:r>
      <w:r w:rsidRPr="00DB7DCC">
        <w:rPr>
          <w:rFonts w:asciiTheme="majorHAnsi" w:eastAsia="Times New Roman" w:hAnsiTheme="majorHAnsi" w:cstheme="majorHAnsi"/>
          <w:b/>
          <w:bCs/>
          <w:iCs/>
          <w:sz w:val="20"/>
          <w:szCs w:val="20"/>
        </w:rPr>
        <w:t>nacheinander</w:t>
      </w:r>
      <w:r w:rsidRPr="00DB7DCC">
        <w:rPr>
          <w:rFonts w:asciiTheme="majorHAnsi" w:eastAsia="Times New Roman" w:hAnsiTheme="majorHAnsi" w:cstheme="majorHAnsi"/>
          <w:bCs/>
          <w:iCs/>
          <w:sz w:val="20"/>
          <w:szCs w:val="20"/>
        </w:rPr>
        <w:t xml:space="preserve"> durchgeführt. Bei einer mehrtägigen Fortbildungs</w:t>
      </w:r>
      <w:r w:rsidR="009A70D7">
        <w:rPr>
          <w:rFonts w:asciiTheme="majorHAnsi" w:eastAsia="Times New Roman" w:hAnsiTheme="majorHAnsi" w:cstheme="majorHAnsi"/>
          <w:bCs/>
          <w:iCs/>
          <w:sz w:val="20"/>
          <w:szCs w:val="20"/>
        </w:rPr>
        <w:t>-</w:t>
      </w:r>
      <w:r w:rsidRPr="00DB7DCC">
        <w:rPr>
          <w:rFonts w:asciiTheme="majorHAnsi" w:eastAsia="Times New Roman" w:hAnsiTheme="majorHAnsi" w:cstheme="majorHAnsi"/>
          <w:bCs/>
          <w:iCs/>
          <w:sz w:val="20"/>
          <w:szCs w:val="20"/>
        </w:rPr>
        <w:t>maßnahme kann v</w:t>
      </w:r>
      <w:r>
        <w:rPr>
          <w:rFonts w:asciiTheme="majorHAnsi" w:eastAsia="Times New Roman" w:hAnsiTheme="majorHAnsi" w:cstheme="majorHAnsi"/>
          <w:bCs/>
          <w:iCs/>
          <w:sz w:val="20"/>
          <w:szCs w:val="20"/>
        </w:rPr>
        <w:t>or der Durchführung des Moduls „</w:t>
      </w:r>
      <w:r w:rsidRPr="00DB7DCC">
        <w:rPr>
          <w:rFonts w:asciiTheme="majorHAnsi" w:eastAsia="Times New Roman" w:hAnsiTheme="majorHAnsi" w:cstheme="majorHAnsi"/>
          <w:bCs/>
          <w:iCs/>
          <w:sz w:val="20"/>
          <w:szCs w:val="20"/>
        </w:rPr>
        <w:t>Sachrechnen im Mathematikunterricht der Grundschule</w:t>
      </w:r>
      <w:r>
        <w:rPr>
          <w:rFonts w:asciiTheme="majorHAnsi" w:eastAsia="Times New Roman" w:hAnsiTheme="majorHAnsi" w:cstheme="majorHAnsi"/>
          <w:bCs/>
          <w:iCs/>
          <w:sz w:val="20"/>
          <w:szCs w:val="20"/>
        </w:rPr>
        <w:t>“</w:t>
      </w:r>
      <w:r w:rsidRPr="00DB7DCC">
        <w:rPr>
          <w:rFonts w:asciiTheme="majorHAnsi" w:eastAsia="Times New Roman" w:hAnsiTheme="majorHAnsi" w:cstheme="majorHAnsi"/>
          <w:bCs/>
          <w:iCs/>
          <w:sz w:val="20"/>
          <w:szCs w:val="20"/>
        </w:rPr>
        <w:t xml:space="preserve"> ein Arbeitsauftrag zur Vorbereitung gestellt werden. In dem oben dargestellten Modell und in den Steckbriefen wird ein solcher</w:t>
      </w:r>
      <w:r>
        <w:rPr>
          <w:rFonts w:asciiTheme="majorHAnsi" w:eastAsia="Times New Roman" w:hAnsiTheme="majorHAnsi" w:cstheme="majorHAnsi"/>
          <w:bCs/>
          <w:iCs/>
          <w:sz w:val="20"/>
          <w:szCs w:val="20"/>
        </w:rPr>
        <w:t>,</w:t>
      </w:r>
      <w:r w:rsidRPr="00DB7DCC">
        <w:rPr>
          <w:rFonts w:asciiTheme="majorHAnsi" w:eastAsia="Times New Roman" w:hAnsiTheme="majorHAnsi" w:cstheme="majorHAnsi"/>
          <w:bCs/>
          <w:iCs/>
          <w:sz w:val="20"/>
          <w:szCs w:val="20"/>
        </w:rPr>
        <w:t xml:space="preserve"> vorbereitender Arbeitsauftrag beschrieben, der im Rahmen des Präsenztages zum Sachrechnen aufgegriffen und reflektiert wird.</w:t>
      </w:r>
    </w:p>
    <w:p w14:paraId="72E47C8C" w14:textId="77777777" w:rsidR="00E62295" w:rsidRPr="00DB7DCC" w:rsidRDefault="00E62295" w:rsidP="009A70D7">
      <w:pPr>
        <w:pStyle w:val="Listenabsatz"/>
        <w:numPr>
          <w:ilvl w:val="0"/>
          <w:numId w:val="26"/>
        </w:numPr>
        <w:spacing w:after="0"/>
        <w:ind w:left="284" w:hanging="284"/>
        <w:contextualSpacing w:val="0"/>
        <w:jc w:val="both"/>
        <w:rPr>
          <w:rFonts w:asciiTheme="majorHAnsi" w:eastAsia="Times New Roman" w:hAnsiTheme="majorHAnsi" w:cstheme="majorHAnsi"/>
          <w:bCs/>
          <w:iCs/>
          <w:sz w:val="20"/>
          <w:szCs w:val="20"/>
        </w:rPr>
      </w:pPr>
      <w:r w:rsidRPr="00DB7DCC">
        <w:rPr>
          <w:rFonts w:asciiTheme="majorHAnsi" w:eastAsia="Times New Roman" w:hAnsiTheme="majorHAnsi" w:cstheme="majorHAnsi"/>
          <w:bCs/>
          <w:iCs/>
          <w:sz w:val="20"/>
          <w:szCs w:val="20"/>
        </w:rPr>
        <w:t xml:space="preserve">Die </w:t>
      </w:r>
      <w:r w:rsidRPr="00DB7DCC">
        <w:rPr>
          <w:rFonts w:asciiTheme="majorHAnsi" w:eastAsia="Times New Roman" w:hAnsiTheme="majorHAnsi" w:cstheme="majorHAnsi"/>
          <w:b/>
          <w:bCs/>
          <w:iCs/>
          <w:sz w:val="20"/>
          <w:szCs w:val="20"/>
        </w:rPr>
        <w:t>Bausteine 1 und 2</w:t>
      </w:r>
      <w:r w:rsidRPr="00DB7DCC">
        <w:rPr>
          <w:rFonts w:asciiTheme="majorHAnsi" w:eastAsia="Times New Roman" w:hAnsiTheme="majorHAnsi" w:cstheme="majorHAnsi"/>
          <w:bCs/>
          <w:iCs/>
          <w:sz w:val="20"/>
          <w:szCs w:val="20"/>
        </w:rPr>
        <w:t xml:space="preserve"> des </w:t>
      </w:r>
      <w:r>
        <w:rPr>
          <w:rFonts w:asciiTheme="majorHAnsi" w:eastAsia="Times New Roman" w:hAnsiTheme="majorHAnsi" w:cstheme="majorHAnsi"/>
          <w:b/>
          <w:bCs/>
          <w:iCs/>
          <w:sz w:val="20"/>
          <w:szCs w:val="20"/>
        </w:rPr>
        <w:t>Moduls „</w:t>
      </w:r>
      <w:r w:rsidRPr="00DB7DCC">
        <w:rPr>
          <w:rFonts w:asciiTheme="majorHAnsi" w:eastAsia="Times New Roman" w:hAnsiTheme="majorHAnsi" w:cstheme="majorHAnsi"/>
          <w:b/>
          <w:bCs/>
          <w:iCs/>
          <w:sz w:val="20"/>
          <w:szCs w:val="20"/>
        </w:rPr>
        <w:t>Sachrechnen im Mathematikunterrich</w:t>
      </w:r>
      <w:r>
        <w:rPr>
          <w:rFonts w:asciiTheme="majorHAnsi" w:eastAsia="Times New Roman" w:hAnsiTheme="majorHAnsi" w:cstheme="majorHAnsi"/>
          <w:b/>
          <w:bCs/>
          <w:iCs/>
          <w:sz w:val="20"/>
          <w:szCs w:val="20"/>
        </w:rPr>
        <w:t>t der Grundschule“</w:t>
      </w:r>
      <w:r w:rsidRPr="00DB7DCC">
        <w:rPr>
          <w:rFonts w:asciiTheme="majorHAnsi" w:eastAsia="Times New Roman" w:hAnsiTheme="majorHAnsi" w:cstheme="majorHAnsi"/>
          <w:b/>
          <w:bCs/>
          <w:iCs/>
          <w:sz w:val="20"/>
          <w:szCs w:val="20"/>
        </w:rPr>
        <w:t xml:space="preserve"> </w:t>
      </w:r>
      <w:r w:rsidRPr="00DB7DCC">
        <w:rPr>
          <w:rFonts w:asciiTheme="majorHAnsi" w:eastAsia="Times New Roman" w:hAnsiTheme="majorHAnsi" w:cstheme="majorHAnsi"/>
          <w:bCs/>
          <w:iCs/>
          <w:sz w:val="20"/>
          <w:szCs w:val="20"/>
        </w:rPr>
        <w:t xml:space="preserve">können </w:t>
      </w:r>
      <w:r w:rsidRPr="00DB7DCC">
        <w:rPr>
          <w:rFonts w:asciiTheme="majorHAnsi" w:eastAsia="Times New Roman" w:hAnsiTheme="majorHAnsi" w:cstheme="majorHAnsi"/>
          <w:b/>
          <w:bCs/>
          <w:iCs/>
          <w:sz w:val="20"/>
          <w:szCs w:val="20"/>
        </w:rPr>
        <w:t>jeweils in Kombination mit dem thematischen Einstieg mit einem anderen Baustein eines anderen Moduls</w:t>
      </w:r>
      <w:r w:rsidRPr="00DB7DCC">
        <w:rPr>
          <w:rFonts w:asciiTheme="majorHAnsi" w:eastAsia="Times New Roman" w:hAnsiTheme="majorHAnsi" w:cstheme="majorHAnsi"/>
          <w:bCs/>
          <w:iCs/>
          <w:sz w:val="20"/>
          <w:szCs w:val="20"/>
        </w:rPr>
        <w:t xml:space="preserve"> kombiniert werden. </w:t>
      </w:r>
    </w:p>
    <w:p w14:paraId="5F0622C9" w14:textId="77777777" w:rsidR="00DC23F5" w:rsidRPr="002A12A6" w:rsidRDefault="00DC23F5" w:rsidP="00DC23F5">
      <w:pPr>
        <w:pStyle w:val="Listenabsatz"/>
        <w:spacing w:after="0"/>
        <w:ind w:left="360"/>
        <w:contextualSpacing w:val="0"/>
        <w:rPr>
          <w:rFonts w:ascii="Calibri" w:eastAsia="Times New Roman" w:hAnsi="Calibri" w:cs="Arial"/>
          <w:bCs/>
          <w:iCs/>
          <w:sz w:val="20"/>
          <w:szCs w:val="20"/>
        </w:rPr>
      </w:pPr>
    </w:p>
    <w:p w14:paraId="64E8559D" w14:textId="0E8C77FD" w:rsidR="009A3DA2" w:rsidRPr="00DB7DCC" w:rsidRDefault="00267B44" w:rsidP="00C02FD6">
      <w:pPr>
        <w:spacing w:after="0"/>
        <w:contextualSpacing w:val="0"/>
        <w:jc w:val="both"/>
        <w:rPr>
          <w:rFonts w:ascii="Calibri" w:eastAsia="Times New Roman" w:hAnsi="Calibri" w:cs="Arial"/>
          <w:b/>
          <w:bCs/>
          <w:iCs/>
          <w:sz w:val="22"/>
          <w:szCs w:val="22"/>
        </w:rPr>
      </w:pPr>
      <w:r>
        <w:rPr>
          <w:rFonts w:ascii="Calibri" w:eastAsia="Times New Roman" w:hAnsi="Calibri" w:cs="Arial"/>
          <w:b/>
          <w:bCs/>
          <w:iCs/>
          <w:sz w:val="22"/>
          <w:szCs w:val="22"/>
        </w:rPr>
        <w:t xml:space="preserve">C: </w:t>
      </w:r>
      <w:r w:rsidRPr="00267B44">
        <w:rPr>
          <w:rFonts w:ascii="Calibri" w:eastAsia="Times New Roman" w:hAnsi="Calibri" w:cs="Arial"/>
          <w:b/>
          <w:bCs/>
          <w:iCs/>
          <w:sz w:val="22"/>
          <w:szCs w:val="22"/>
        </w:rPr>
        <w:t>Kombination bei</w:t>
      </w:r>
      <w:r>
        <w:rPr>
          <w:rFonts w:ascii="Calibri" w:eastAsia="Times New Roman" w:hAnsi="Calibri" w:cs="Arial"/>
          <w:b/>
          <w:bCs/>
          <w:iCs/>
          <w:sz w:val="22"/>
          <w:szCs w:val="22"/>
        </w:rPr>
        <w:t xml:space="preserve">der Bausteine </w:t>
      </w:r>
      <w:r w:rsidR="009A3DA2" w:rsidRPr="00DB7DCC">
        <w:rPr>
          <w:rFonts w:ascii="Calibri" w:eastAsia="Times New Roman" w:hAnsi="Calibri" w:cs="Arial"/>
          <w:b/>
          <w:bCs/>
          <w:iCs/>
          <w:sz w:val="22"/>
          <w:szCs w:val="22"/>
        </w:rPr>
        <w:t>im Rahmen eines Workshops:</w:t>
      </w:r>
    </w:p>
    <w:p w14:paraId="40294865" w14:textId="3F7FD74C" w:rsidR="009A3DA2" w:rsidRPr="00DB7DCC" w:rsidRDefault="009A3DA2" w:rsidP="009A70D7">
      <w:pPr>
        <w:pStyle w:val="Listenabsatz"/>
        <w:numPr>
          <w:ilvl w:val="0"/>
          <w:numId w:val="26"/>
        </w:numPr>
        <w:spacing w:after="0"/>
        <w:ind w:left="284" w:hanging="284"/>
        <w:contextualSpacing w:val="0"/>
        <w:jc w:val="both"/>
        <w:rPr>
          <w:rFonts w:asciiTheme="majorHAnsi" w:eastAsia="Times New Roman" w:hAnsiTheme="majorHAnsi" w:cstheme="majorHAnsi"/>
          <w:bCs/>
          <w:iCs/>
          <w:sz w:val="20"/>
          <w:szCs w:val="20"/>
        </w:rPr>
      </w:pPr>
      <w:r w:rsidRPr="00DB7DCC">
        <w:rPr>
          <w:rFonts w:asciiTheme="majorHAnsi" w:eastAsia="Times New Roman" w:hAnsiTheme="majorHAnsi" w:cstheme="majorHAnsi"/>
          <w:bCs/>
          <w:iCs/>
          <w:sz w:val="20"/>
          <w:szCs w:val="20"/>
        </w:rPr>
        <w:t xml:space="preserve">Der </w:t>
      </w:r>
      <w:r w:rsidRPr="00DB7DCC">
        <w:rPr>
          <w:rFonts w:asciiTheme="majorHAnsi" w:eastAsia="Times New Roman" w:hAnsiTheme="majorHAnsi" w:cstheme="majorHAnsi"/>
          <w:b/>
          <w:bCs/>
          <w:iCs/>
          <w:sz w:val="20"/>
          <w:szCs w:val="20"/>
        </w:rPr>
        <w:t>thematische Einstieg wird in gekürzter Form</w:t>
      </w:r>
      <w:r w:rsidRPr="00DB7DCC">
        <w:rPr>
          <w:rFonts w:asciiTheme="majorHAnsi" w:eastAsia="Times New Roman" w:hAnsiTheme="majorHAnsi" w:cstheme="majorHAnsi"/>
          <w:bCs/>
          <w:iCs/>
          <w:sz w:val="20"/>
          <w:szCs w:val="20"/>
        </w:rPr>
        <w:t xml:space="preserve">, ggf. nur mündlich, umgesetzt. Anschließend werden </w:t>
      </w:r>
      <w:r w:rsidR="00203A04" w:rsidRPr="00DB7DCC">
        <w:rPr>
          <w:rFonts w:asciiTheme="majorHAnsi" w:eastAsia="Times New Roman" w:hAnsiTheme="majorHAnsi" w:cstheme="majorHAnsi"/>
          <w:bCs/>
          <w:iCs/>
          <w:sz w:val="20"/>
          <w:szCs w:val="20"/>
        </w:rPr>
        <w:t xml:space="preserve">die </w:t>
      </w:r>
      <w:r w:rsidRPr="00DB7DCC">
        <w:rPr>
          <w:rFonts w:asciiTheme="majorHAnsi" w:eastAsia="Times New Roman" w:hAnsiTheme="majorHAnsi" w:cstheme="majorHAnsi"/>
          <w:b/>
          <w:bCs/>
          <w:iCs/>
          <w:sz w:val="20"/>
          <w:szCs w:val="20"/>
        </w:rPr>
        <w:t>Baustein</w:t>
      </w:r>
      <w:r w:rsidR="00203A04" w:rsidRPr="00DB7DCC">
        <w:rPr>
          <w:rFonts w:asciiTheme="majorHAnsi" w:eastAsia="Times New Roman" w:hAnsiTheme="majorHAnsi" w:cstheme="majorHAnsi"/>
          <w:b/>
          <w:bCs/>
          <w:iCs/>
          <w:sz w:val="20"/>
          <w:szCs w:val="20"/>
        </w:rPr>
        <w:t>e</w:t>
      </w:r>
      <w:r w:rsidRPr="00DB7DCC">
        <w:rPr>
          <w:rFonts w:asciiTheme="majorHAnsi" w:eastAsia="Times New Roman" w:hAnsiTheme="majorHAnsi" w:cstheme="majorHAnsi"/>
          <w:b/>
          <w:bCs/>
          <w:iCs/>
          <w:sz w:val="20"/>
          <w:szCs w:val="20"/>
        </w:rPr>
        <w:t xml:space="preserve"> </w:t>
      </w:r>
      <w:r w:rsidR="009B077A" w:rsidRPr="00DB7DCC">
        <w:rPr>
          <w:rFonts w:asciiTheme="majorHAnsi" w:eastAsia="Times New Roman" w:hAnsiTheme="majorHAnsi" w:cstheme="majorHAnsi"/>
          <w:b/>
          <w:bCs/>
          <w:iCs/>
          <w:sz w:val="20"/>
          <w:szCs w:val="20"/>
        </w:rPr>
        <w:t xml:space="preserve">1 und 2 </w:t>
      </w:r>
      <w:r w:rsidR="006478B1" w:rsidRPr="00DB7DCC">
        <w:rPr>
          <w:rFonts w:asciiTheme="majorHAnsi" w:eastAsia="Times New Roman" w:hAnsiTheme="majorHAnsi" w:cstheme="majorHAnsi"/>
          <w:bCs/>
          <w:iCs/>
          <w:sz w:val="20"/>
          <w:szCs w:val="20"/>
        </w:rPr>
        <w:t xml:space="preserve">des Moduls </w:t>
      </w:r>
      <w:r w:rsidR="00E460E3">
        <w:rPr>
          <w:rFonts w:asciiTheme="majorHAnsi" w:eastAsia="Times New Roman" w:hAnsiTheme="majorHAnsi" w:cstheme="majorHAnsi"/>
          <w:b/>
          <w:bCs/>
          <w:iCs/>
          <w:sz w:val="20"/>
          <w:szCs w:val="20"/>
        </w:rPr>
        <w:t>„</w:t>
      </w:r>
      <w:r w:rsidR="009B077A" w:rsidRPr="00DB7DCC">
        <w:rPr>
          <w:rFonts w:asciiTheme="majorHAnsi" w:eastAsia="Times New Roman" w:hAnsiTheme="majorHAnsi" w:cstheme="majorHAnsi"/>
          <w:b/>
          <w:bCs/>
          <w:iCs/>
          <w:sz w:val="20"/>
          <w:szCs w:val="20"/>
        </w:rPr>
        <w:t>Sachrechnen im Mathematikunterricht der Grundschule</w:t>
      </w:r>
      <w:r w:rsidR="00E460E3">
        <w:rPr>
          <w:rFonts w:asciiTheme="majorHAnsi" w:eastAsia="Times New Roman" w:hAnsiTheme="majorHAnsi" w:cstheme="majorHAnsi"/>
          <w:b/>
          <w:bCs/>
          <w:iCs/>
          <w:sz w:val="20"/>
          <w:szCs w:val="20"/>
        </w:rPr>
        <w:t>“</w:t>
      </w:r>
      <w:r w:rsidR="009B077A" w:rsidRPr="00DB7DCC">
        <w:rPr>
          <w:rFonts w:asciiTheme="majorHAnsi" w:eastAsia="Times New Roman" w:hAnsiTheme="majorHAnsi" w:cstheme="majorHAnsi"/>
          <w:bCs/>
          <w:iCs/>
          <w:sz w:val="20"/>
          <w:szCs w:val="20"/>
        </w:rPr>
        <w:t xml:space="preserve"> </w:t>
      </w:r>
      <w:r w:rsidRPr="00DB7DCC">
        <w:rPr>
          <w:rFonts w:asciiTheme="majorHAnsi" w:eastAsia="Times New Roman" w:hAnsiTheme="majorHAnsi" w:cstheme="majorHAnsi"/>
          <w:bCs/>
          <w:iCs/>
          <w:sz w:val="20"/>
          <w:szCs w:val="20"/>
        </w:rPr>
        <w:t xml:space="preserve">ebenfalls </w:t>
      </w:r>
      <w:r w:rsidRPr="00DB7DCC">
        <w:rPr>
          <w:rFonts w:asciiTheme="majorHAnsi" w:eastAsia="Times New Roman" w:hAnsiTheme="majorHAnsi" w:cstheme="majorHAnsi"/>
          <w:b/>
          <w:bCs/>
          <w:iCs/>
          <w:sz w:val="20"/>
          <w:szCs w:val="20"/>
        </w:rPr>
        <w:t>in gekürzter Form</w:t>
      </w:r>
      <w:r w:rsidRPr="00DB7DCC">
        <w:rPr>
          <w:rFonts w:asciiTheme="majorHAnsi" w:eastAsia="Times New Roman" w:hAnsiTheme="majorHAnsi" w:cstheme="majorHAnsi"/>
          <w:bCs/>
          <w:iCs/>
          <w:sz w:val="20"/>
          <w:szCs w:val="20"/>
        </w:rPr>
        <w:t xml:space="preserve"> nacheinander durchgeführt (siehe hierzu Kürzungshinweise).</w:t>
      </w:r>
    </w:p>
    <w:p w14:paraId="3D01C69E" w14:textId="0A04AF35" w:rsidR="009A3DA2" w:rsidRPr="00DB7DCC" w:rsidRDefault="009A3DA2" w:rsidP="009A70D7">
      <w:pPr>
        <w:pStyle w:val="Listenabsatz"/>
        <w:numPr>
          <w:ilvl w:val="0"/>
          <w:numId w:val="26"/>
        </w:numPr>
        <w:spacing w:after="0"/>
        <w:ind w:left="284" w:hanging="284"/>
        <w:contextualSpacing w:val="0"/>
        <w:jc w:val="both"/>
        <w:rPr>
          <w:rFonts w:asciiTheme="majorHAnsi" w:eastAsia="Times New Roman" w:hAnsiTheme="majorHAnsi" w:cstheme="majorHAnsi"/>
          <w:bCs/>
          <w:iCs/>
          <w:sz w:val="20"/>
          <w:szCs w:val="20"/>
        </w:rPr>
      </w:pPr>
      <w:r w:rsidRPr="00DB7DCC">
        <w:rPr>
          <w:rFonts w:asciiTheme="majorHAnsi" w:eastAsia="Times New Roman" w:hAnsiTheme="majorHAnsi" w:cstheme="majorHAnsi"/>
          <w:bCs/>
          <w:iCs/>
          <w:sz w:val="20"/>
          <w:szCs w:val="20"/>
        </w:rPr>
        <w:t xml:space="preserve">Die </w:t>
      </w:r>
      <w:r w:rsidRPr="00DB7DCC">
        <w:rPr>
          <w:rFonts w:asciiTheme="majorHAnsi" w:eastAsia="Times New Roman" w:hAnsiTheme="majorHAnsi" w:cstheme="majorHAnsi"/>
          <w:b/>
          <w:bCs/>
          <w:iCs/>
          <w:sz w:val="20"/>
          <w:szCs w:val="20"/>
        </w:rPr>
        <w:t xml:space="preserve">Bausteine </w:t>
      </w:r>
      <w:r w:rsidR="009B077A" w:rsidRPr="00DB7DCC">
        <w:rPr>
          <w:rFonts w:asciiTheme="majorHAnsi" w:eastAsia="Times New Roman" w:hAnsiTheme="majorHAnsi" w:cstheme="majorHAnsi"/>
          <w:b/>
          <w:bCs/>
          <w:iCs/>
          <w:sz w:val="20"/>
          <w:szCs w:val="20"/>
        </w:rPr>
        <w:t xml:space="preserve">1 und 2 </w:t>
      </w:r>
      <w:r w:rsidR="006478B1" w:rsidRPr="00DB7DCC">
        <w:rPr>
          <w:rFonts w:asciiTheme="majorHAnsi" w:eastAsia="Times New Roman" w:hAnsiTheme="majorHAnsi" w:cstheme="majorHAnsi"/>
          <w:bCs/>
          <w:iCs/>
          <w:sz w:val="20"/>
          <w:szCs w:val="20"/>
        </w:rPr>
        <w:t xml:space="preserve">des Moduls </w:t>
      </w:r>
      <w:r w:rsidR="006F11FC">
        <w:rPr>
          <w:rFonts w:asciiTheme="majorHAnsi" w:eastAsia="Times New Roman" w:hAnsiTheme="majorHAnsi" w:cstheme="majorHAnsi"/>
          <w:b/>
          <w:bCs/>
          <w:iCs/>
          <w:sz w:val="20"/>
          <w:szCs w:val="20"/>
        </w:rPr>
        <w:t>„</w:t>
      </w:r>
      <w:r w:rsidR="009B077A" w:rsidRPr="00DB7DCC">
        <w:rPr>
          <w:rFonts w:asciiTheme="majorHAnsi" w:eastAsia="Times New Roman" w:hAnsiTheme="majorHAnsi" w:cstheme="majorHAnsi"/>
          <w:b/>
          <w:bCs/>
          <w:iCs/>
          <w:sz w:val="20"/>
          <w:szCs w:val="20"/>
        </w:rPr>
        <w:t>Sachrechnen im Mathe</w:t>
      </w:r>
      <w:r w:rsidR="006F11FC">
        <w:rPr>
          <w:rFonts w:asciiTheme="majorHAnsi" w:eastAsia="Times New Roman" w:hAnsiTheme="majorHAnsi" w:cstheme="majorHAnsi"/>
          <w:b/>
          <w:bCs/>
          <w:iCs/>
          <w:sz w:val="20"/>
          <w:szCs w:val="20"/>
        </w:rPr>
        <w:t>matikunterricht der Grundschule“</w:t>
      </w:r>
      <w:r w:rsidR="009B077A" w:rsidRPr="00DB7DCC">
        <w:rPr>
          <w:rFonts w:asciiTheme="majorHAnsi" w:eastAsia="Times New Roman" w:hAnsiTheme="majorHAnsi" w:cstheme="majorHAnsi"/>
          <w:b/>
          <w:bCs/>
          <w:iCs/>
          <w:sz w:val="20"/>
          <w:szCs w:val="20"/>
        </w:rPr>
        <w:t xml:space="preserve"> </w:t>
      </w:r>
      <w:r w:rsidR="009B077A" w:rsidRPr="00DB7DCC">
        <w:rPr>
          <w:rFonts w:asciiTheme="majorHAnsi" w:eastAsia="Times New Roman" w:hAnsiTheme="majorHAnsi" w:cstheme="majorHAnsi"/>
          <w:bCs/>
          <w:iCs/>
          <w:sz w:val="20"/>
          <w:szCs w:val="20"/>
        </w:rPr>
        <w:t xml:space="preserve">können </w:t>
      </w:r>
      <w:r w:rsidRPr="00DB7DCC">
        <w:rPr>
          <w:rFonts w:asciiTheme="majorHAnsi" w:eastAsia="Times New Roman" w:hAnsiTheme="majorHAnsi" w:cstheme="majorHAnsi"/>
          <w:b/>
          <w:bCs/>
          <w:iCs/>
          <w:sz w:val="20"/>
          <w:szCs w:val="20"/>
        </w:rPr>
        <w:t xml:space="preserve">jeweils mit dem thematischen Einstieg mit einem anderen Baustein eines anderen Moduls kombiniert </w:t>
      </w:r>
      <w:r w:rsidRPr="00DB7DCC">
        <w:rPr>
          <w:rFonts w:asciiTheme="majorHAnsi" w:eastAsia="Times New Roman" w:hAnsiTheme="majorHAnsi" w:cstheme="majorHAnsi"/>
          <w:bCs/>
          <w:iCs/>
          <w:sz w:val="20"/>
          <w:szCs w:val="20"/>
        </w:rPr>
        <w:t xml:space="preserve">werden. </w:t>
      </w:r>
    </w:p>
    <w:p w14:paraId="06648E24" w14:textId="77777777" w:rsidR="002C276D" w:rsidRPr="00573984" w:rsidRDefault="002C276D" w:rsidP="002C276D">
      <w:pPr>
        <w:pStyle w:val="Listenabsatz"/>
        <w:spacing w:after="0"/>
        <w:ind w:left="360"/>
        <w:contextualSpacing w:val="0"/>
        <w:rPr>
          <w:rFonts w:ascii="Calibri" w:eastAsia="Times New Roman" w:hAnsi="Calibri" w:cs="Arial"/>
          <w:bCs/>
          <w:iCs/>
          <w:sz w:val="20"/>
          <w:szCs w:val="20"/>
        </w:rPr>
      </w:pPr>
    </w:p>
    <w:p w14:paraId="082D67AE" w14:textId="77777777" w:rsidR="009A3DA2" w:rsidRPr="00573984" w:rsidRDefault="009A3DA2" w:rsidP="002A12A6">
      <w:pPr>
        <w:spacing w:after="0"/>
        <w:contextualSpacing w:val="0"/>
        <w:jc w:val="both"/>
        <w:rPr>
          <w:rFonts w:asciiTheme="majorHAnsi" w:eastAsia="Times New Roman" w:hAnsiTheme="majorHAnsi" w:cstheme="majorHAnsi"/>
          <w:bCs/>
          <w:iCs/>
          <w:sz w:val="20"/>
          <w:szCs w:val="20"/>
        </w:rPr>
      </w:pPr>
      <w:r w:rsidRPr="001561A0">
        <w:rPr>
          <w:rFonts w:asciiTheme="majorHAnsi" w:eastAsia="Times New Roman" w:hAnsiTheme="majorHAnsi" w:cstheme="majorHAnsi"/>
          <w:b/>
          <w:bCs/>
          <w:iCs/>
          <w:sz w:val="20"/>
          <w:szCs w:val="20"/>
        </w:rPr>
        <w:t>Kürzungshinweise</w:t>
      </w:r>
      <w:r w:rsidRPr="00573984">
        <w:rPr>
          <w:rFonts w:asciiTheme="majorHAnsi" w:eastAsia="Times New Roman" w:hAnsiTheme="majorHAnsi" w:cstheme="majorHAnsi"/>
          <w:bCs/>
          <w:iCs/>
          <w:sz w:val="20"/>
          <w:szCs w:val="20"/>
        </w:rPr>
        <w:t xml:space="preserve"> …</w:t>
      </w:r>
    </w:p>
    <w:p w14:paraId="50EF2E3D" w14:textId="6FA6D961" w:rsidR="009A3DA2" w:rsidRPr="00573984" w:rsidRDefault="009A3DA2" w:rsidP="002A12A6">
      <w:pPr>
        <w:spacing w:after="0"/>
        <w:contextualSpacing w:val="0"/>
        <w:jc w:val="both"/>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folgender Phasen/Aktivitäten des thematischen Einstiegs (siehe hierzu Steckbrief zum Baustein 1 </w:t>
      </w:r>
      <w:r w:rsidR="002A12A6" w:rsidRPr="00573984">
        <w:rPr>
          <w:rFonts w:asciiTheme="majorHAnsi" w:eastAsia="Times New Roman" w:hAnsiTheme="majorHAnsi" w:cstheme="majorHAnsi"/>
          <w:bCs/>
          <w:iCs/>
          <w:sz w:val="20"/>
          <w:szCs w:val="20"/>
        </w:rPr>
        <w:t>„</w:t>
      </w:r>
      <w:r w:rsidR="007A1665">
        <w:rPr>
          <w:rFonts w:asciiTheme="majorHAnsi" w:eastAsia="Times New Roman" w:hAnsiTheme="majorHAnsi" w:cstheme="majorHAnsi"/>
          <w:bCs/>
          <w:iCs/>
          <w:sz w:val="20"/>
          <w:szCs w:val="20"/>
        </w:rPr>
        <w:t>Ziele und Funktionen des Sachrechnens</w:t>
      </w:r>
      <w:r w:rsidR="002A12A6" w:rsidRPr="00573984">
        <w:rPr>
          <w:rFonts w:asciiTheme="majorHAnsi" w:eastAsia="Times New Roman" w:hAnsiTheme="majorHAnsi" w:cstheme="majorHAnsi"/>
          <w:bCs/>
          <w:iCs/>
          <w:sz w:val="20"/>
          <w:szCs w:val="20"/>
        </w:rPr>
        <w:t>“</w:t>
      </w:r>
      <w:r w:rsidRPr="00573984">
        <w:rPr>
          <w:rFonts w:asciiTheme="majorHAnsi" w:eastAsia="Times New Roman" w:hAnsiTheme="majorHAnsi" w:cstheme="majorHAnsi"/>
          <w:bCs/>
          <w:iCs/>
          <w:sz w:val="20"/>
          <w:szCs w:val="20"/>
        </w:rPr>
        <w:t>):</w:t>
      </w:r>
    </w:p>
    <w:p w14:paraId="02CDC490" w14:textId="68A76388" w:rsidR="009A3DA2" w:rsidRPr="00573984" w:rsidRDefault="009A3DA2" w:rsidP="00823548">
      <w:pPr>
        <w:pStyle w:val="Listenabsatz"/>
        <w:numPr>
          <w:ilvl w:val="0"/>
          <w:numId w:val="26"/>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Durchführung der Aktivierung nur mündlich im Plenum</w:t>
      </w:r>
      <w:r w:rsidR="009B0994">
        <w:rPr>
          <w:rFonts w:asciiTheme="majorHAnsi" w:eastAsia="Times New Roman" w:hAnsiTheme="majorHAnsi" w:cstheme="majorHAnsi"/>
          <w:bCs/>
          <w:iCs/>
          <w:sz w:val="20"/>
          <w:szCs w:val="20"/>
        </w:rPr>
        <w:t xml:space="preserve"> (Folien 7</w:t>
      </w:r>
      <w:r w:rsidR="009B0994">
        <w:t>–</w:t>
      </w:r>
      <w:r w:rsidR="003B3F6F" w:rsidRPr="00573984">
        <w:rPr>
          <w:rFonts w:asciiTheme="majorHAnsi" w:eastAsia="Times New Roman" w:hAnsiTheme="majorHAnsi" w:cstheme="majorHAnsi"/>
          <w:bCs/>
          <w:iCs/>
          <w:sz w:val="20"/>
          <w:szCs w:val="20"/>
        </w:rPr>
        <w:t>9)</w:t>
      </w:r>
    </w:p>
    <w:p w14:paraId="2AFA7918" w14:textId="4F443756" w:rsidR="009A3DA2" w:rsidRPr="00573984" w:rsidRDefault="009A3DA2" w:rsidP="00823548">
      <w:pPr>
        <w:pStyle w:val="Listenabsatz"/>
        <w:numPr>
          <w:ilvl w:val="0"/>
          <w:numId w:val="26"/>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Erläuterung der Relevanz de</w:t>
      </w:r>
      <w:r w:rsidR="009B077A" w:rsidRPr="00573984">
        <w:rPr>
          <w:rFonts w:asciiTheme="majorHAnsi" w:eastAsia="Times New Roman" w:hAnsiTheme="majorHAnsi" w:cstheme="majorHAnsi"/>
          <w:bCs/>
          <w:iCs/>
          <w:sz w:val="20"/>
          <w:szCs w:val="20"/>
        </w:rPr>
        <w:t xml:space="preserve">s Themas </w:t>
      </w:r>
      <w:r w:rsidRPr="00573984">
        <w:rPr>
          <w:rFonts w:asciiTheme="majorHAnsi" w:eastAsia="Times New Roman" w:hAnsiTheme="majorHAnsi" w:cstheme="majorHAnsi"/>
          <w:bCs/>
          <w:iCs/>
          <w:sz w:val="20"/>
          <w:szCs w:val="20"/>
        </w:rPr>
        <w:t>nur mündlich</w:t>
      </w:r>
      <w:r w:rsidR="003B3F6F" w:rsidRPr="00573984">
        <w:rPr>
          <w:rFonts w:asciiTheme="majorHAnsi" w:eastAsia="Times New Roman" w:hAnsiTheme="majorHAnsi" w:cstheme="majorHAnsi"/>
          <w:bCs/>
          <w:iCs/>
          <w:sz w:val="20"/>
          <w:szCs w:val="20"/>
        </w:rPr>
        <w:t xml:space="preserve"> (Folie</w:t>
      </w:r>
      <w:r w:rsidR="009B0994">
        <w:rPr>
          <w:rFonts w:asciiTheme="majorHAnsi" w:eastAsia="Times New Roman" w:hAnsiTheme="majorHAnsi" w:cstheme="majorHAnsi"/>
          <w:bCs/>
          <w:iCs/>
          <w:sz w:val="20"/>
          <w:szCs w:val="20"/>
        </w:rPr>
        <w:t>n 13</w:t>
      </w:r>
      <w:r w:rsidR="009B0994">
        <w:t>–</w:t>
      </w:r>
      <w:r w:rsidR="003B3F6F" w:rsidRPr="00573984">
        <w:rPr>
          <w:rFonts w:asciiTheme="majorHAnsi" w:eastAsia="Times New Roman" w:hAnsiTheme="majorHAnsi" w:cstheme="majorHAnsi"/>
          <w:bCs/>
          <w:iCs/>
          <w:sz w:val="20"/>
          <w:szCs w:val="20"/>
        </w:rPr>
        <w:t>18)</w:t>
      </w:r>
    </w:p>
    <w:p w14:paraId="60F9E375" w14:textId="77777777" w:rsidR="00203A04" w:rsidRPr="00573984" w:rsidRDefault="00203A04" w:rsidP="00573984">
      <w:pPr>
        <w:spacing w:after="0"/>
        <w:contextualSpacing w:val="0"/>
        <w:rPr>
          <w:rFonts w:asciiTheme="majorHAnsi" w:eastAsia="Times New Roman" w:hAnsiTheme="majorHAnsi" w:cstheme="majorHAnsi"/>
          <w:bCs/>
          <w:iCs/>
          <w:sz w:val="20"/>
          <w:szCs w:val="20"/>
        </w:rPr>
      </w:pPr>
    </w:p>
    <w:p w14:paraId="66044AB6" w14:textId="4545F94A" w:rsidR="009A3DA2" w:rsidRPr="00573984" w:rsidRDefault="009A3DA2" w:rsidP="00573984">
      <w:pPr>
        <w:spacing w:after="0"/>
        <w:contextualSpacing w:val="0"/>
        <w:jc w:val="both"/>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folgender Phasen/Aktivitäten des Bausteins 1 </w:t>
      </w:r>
      <w:r w:rsidR="00573984">
        <w:rPr>
          <w:rFonts w:asciiTheme="majorHAnsi" w:eastAsia="Times New Roman" w:hAnsiTheme="majorHAnsi" w:cstheme="majorHAnsi"/>
          <w:bCs/>
          <w:iCs/>
          <w:sz w:val="20"/>
          <w:szCs w:val="20"/>
        </w:rPr>
        <w:t>„</w:t>
      </w:r>
      <w:r w:rsidR="007A1665">
        <w:rPr>
          <w:rFonts w:asciiTheme="majorHAnsi" w:eastAsia="Times New Roman" w:hAnsiTheme="majorHAnsi" w:cstheme="majorHAnsi"/>
          <w:bCs/>
          <w:iCs/>
          <w:sz w:val="20"/>
          <w:szCs w:val="20"/>
        </w:rPr>
        <w:t>Ziele und Funktionen des Sachrechnens</w:t>
      </w:r>
      <w:r w:rsidR="00573984">
        <w:rPr>
          <w:rFonts w:asciiTheme="majorHAnsi" w:eastAsia="Times New Roman" w:hAnsiTheme="majorHAnsi" w:cstheme="majorHAnsi"/>
          <w:bCs/>
          <w:iCs/>
          <w:sz w:val="20"/>
          <w:szCs w:val="20"/>
        </w:rPr>
        <w:t>“</w:t>
      </w:r>
      <w:r w:rsidR="00363A39" w:rsidRPr="00573984">
        <w:rPr>
          <w:rFonts w:asciiTheme="majorHAnsi" w:eastAsia="Times New Roman" w:hAnsiTheme="majorHAnsi" w:cstheme="majorHAnsi"/>
          <w:bCs/>
          <w:iCs/>
          <w:sz w:val="20"/>
          <w:szCs w:val="20"/>
        </w:rPr>
        <w:t xml:space="preserve"> </w:t>
      </w:r>
      <w:r w:rsidRPr="00573984">
        <w:rPr>
          <w:rFonts w:asciiTheme="majorHAnsi" w:eastAsia="Times New Roman" w:hAnsiTheme="majorHAnsi" w:cstheme="majorHAnsi"/>
          <w:bCs/>
          <w:iCs/>
          <w:sz w:val="20"/>
          <w:szCs w:val="20"/>
        </w:rPr>
        <w:t>(siehe hierzu Steckbrief):</w:t>
      </w:r>
    </w:p>
    <w:p w14:paraId="4DB3136A" w14:textId="50924964" w:rsidR="009A3DA2" w:rsidRPr="00573984" w:rsidRDefault="009A3DA2" w:rsidP="00823548">
      <w:pPr>
        <w:pStyle w:val="Listenabsatz"/>
        <w:numPr>
          <w:ilvl w:val="0"/>
          <w:numId w:val="28"/>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Kürzung bei der Thematisierung der </w:t>
      </w:r>
      <w:r w:rsidR="001A65C1" w:rsidRPr="00573984">
        <w:rPr>
          <w:rFonts w:asciiTheme="majorHAnsi" w:eastAsia="Times New Roman" w:hAnsiTheme="majorHAnsi" w:cstheme="majorHAnsi"/>
          <w:bCs/>
          <w:iCs/>
          <w:sz w:val="20"/>
          <w:szCs w:val="20"/>
        </w:rPr>
        <w:t xml:space="preserve">Typen von Sachaufgaben </w:t>
      </w:r>
      <w:r w:rsidRPr="00573984">
        <w:rPr>
          <w:rFonts w:asciiTheme="majorHAnsi" w:eastAsia="Times New Roman" w:hAnsiTheme="majorHAnsi" w:cstheme="majorHAnsi"/>
          <w:bCs/>
          <w:iCs/>
          <w:sz w:val="20"/>
          <w:szCs w:val="20"/>
        </w:rPr>
        <w:t xml:space="preserve">durch eine mündliche Zusammenfassung oder </w:t>
      </w:r>
      <w:r w:rsidR="001A65C1" w:rsidRPr="00573984">
        <w:rPr>
          <w:rFonts w:asciiTheme="majorHAnsi" w:eastAsia="Times New Roman" w:hAnsiTheme="majorHAnsi" w:cstheme="majorHAnsi"/>
          <w:bCs/>
          <w:iCs/>
          <w:sz w:val="20"/>
          <w:szCs w:val="20"/>
        </w:rPr>
        <w:t>Streichung</w:t>
      </w:r>
      <w:r w:rsidR="00EE0EC7">
        <w:rPr>
          <w:rFonts w:asciiTheme="majorHAnsi" w:eastAsia="Times New Roman" w:hAnsiTheme="majorHAnsi" w:cstheme="majorHAnsi"/>
          <w:bCs/>
          <w:iCs/>
          <w:sz w:val="20"/>
          <w:szCs w:val="20"/>
        </w:rPr>
        <w:t xml:space="preserve"> (Folien 28</w:t>
      </w:r>
      <w:r w:rsidR="00EE0EC7">
        <w:t>–</w:t>
      </w:r>
      <w:r w:rsidR="002469A0" w:rsidRPr="00573984">
        <w:rPr>
          <w:rFonts w:asciiTheme="majorHAnsi" w:eastAsia="Times New Roman" w:hAnsiTheme="majorHAnsi" w:cstheme="majorHAnsi"/>
          <w:bCs/>
          <w:iCs/>
          <w:sz w:val="20"/>
          <w:szCs w:val="20"/>
        </w:rPr>
        <w:t>35)</w:t>
      </w:r>
    </w:p>
    <w:p w14:paraId="4D97ACA1" w14:textId="3BFBE3F7" w:rsidR="009A3DA2" w:rsidRPr="00573984" w:rsidRDefault="009A3DA2" w:rsidP="00823548">
      <w:pPr>
        <w:pStyle w:val="Listenabsatz"/>
        <w:numPr>
          <w:ilvl w:val="0"/>
          <w:numId w:val="28"/>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Kürzung des Arbeitsauftrages hinsichtlich der </w:t>
      </w:r>
      <w:r w:rsidR="00C63D55">
        <w:rPr>
          <w:rFonts w:asciiTheme="majorHAnsi" w:eastAsia="Times New Roman" w:hAnsiTheme="majorHAnsi" w:cstheme="majorHAnsi"/>
          <w:bCs/>
          <w:iCs/>
          <w:sz w:val="20"/>
          <w:szCs w:val="20"/>
        </w:rPr>
        <w:t>„Mehrdeutigen Textaufgabe“</w:t>
      </w:r>
      <w:r w:rsidR="001A65C1" w:rsidRPr="00573984">
        <w:rPr>
          <w:rFonts w:asciiTheme="majorHAnsi" w:eastAsia="Times New Roman" w:hAnsiTheme="majorHAnsi" w:cstheme="majorHAnsi"/>
          <w:bCs/>
          <w:iCs/>
          <w:sz w:val="20"/>
          <w:szCs w:val="20"/>
        </w:rPr>
        <w:t xml:space="preserve">: </w:t>
      </w:r>
      <w:r w:rsidRPr="00573984">
        <w:rPr>
          <w:rFonts w:asciiTheme="majorHAnsi" w:eastAsia="Times New Roman" w:hAnsiTheme="majorHAnsi" w:cstheme="majorHAnsi"/>
          <w:bCs/>
          <w:iCs/>
          <w:sz w:val="20"/>
          <w:szCs w:val="20"/>
        </w:rPr>
        <w:t xml:space="preserve">Analyse und Reflexion von nur einer </w:t>
      </w:r>
      <w:r w:rsidR="001A65C1" w:rsidRPr="00573984">
        <w:rPr>
          <w:rFonts w:asciiTheme="majorHAnsi" w:eastAsia="Times New Roman" w:hAnsiTheme="majorHAnsi" w:cstheme="majorHAnsi"/>
          <w:bCs/>
          <w:iCs/>
          <w:sz w:val="20"/>
          <w:szCs w:val="20"/>
        </w:rPr>
        <w:t>Schülerlösung</w:t>
      </w:r>
      <w:r w:rsidR="00C63D55">
        <w:rPr>
          <w:rFonts w:asciiTheme="majorHAnsi" w:eastAsia="Times New Roman" w:hAnsiTheme="majorHAnsi" w:cstheme="majorHAnsi"/>
          <w:bCs/>
          <w:iCs/>
          <w:sz w:val="20"/>
          <w:szCs w:val="20"/>
        </w:rPr>
        <w:t xml:space="preserve"> (Folien 37</w:t>
      </w:r>
      <w:r w:rsidR="00C63D55">
        <w:t>–</w:t>
      </w:r>
      <w:r w:rsidR="002469A0" w:rsidRPr="00573984">
        <w:rPr>
          <w:rFonts w:asciiTheme="majorHAnsi" w:eastAsia="Times New Roman" w:hAnsiTheme="majorHAnsi" w:cstheme="majorHAnsi"/>
          <w:bCs/>
          <w:iCs/>
          <w:sz w:val="20"/>
          <w:szCs w:val="20"/>
        </w:rPr>
        <w:t>40)</w:t>
      </w:r>
    </w:p>
    <w:p w14:paraId="29EF6B73" w14:textId="77777777" w:rsidR="00203A04" w:rsidRPr="00573984" w:rsidRDefault="00203A04" w:rsidP="001270BD">
      <w:pPr>
        <w:pStyle w:val="Listenabsatz"/>
        <w:spacing w:after="0"/>
        <w:ind w:left="360"/>
        <w:contextualSpacing w:val="0"/>
        <w:rPr>
          <w:rFonts w:asciiTheme="majorHAnsi" w:eastAsia="Times New Roman" w:hAnsiTheme="majorHAnsi" w:cstheme="majorHAnsi"/>
          <w:bCs/>
          <w:iCs/>
          <w:sz w:val="20"/>
          <w:szCs w:val="20"/>
        </w:rPr>
      </w:pPr>
    </w:p>
    <w:p w14:paraId="4EC67FB1" w14:textId="3AA78A70" w:rsidR="009A3DA2" w:rsidRPr="00573984" w:rsidRDefault="009A3DA2" w:rsidP="00573984">
      <w:pPr>
        <w:spacing w:after="0"/>
        <w:contextualSpacing w:val="0"/>
        <w:jc w:val="both"/>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folgender Phasen/Aktivitäten des Bausteins 2 </w:t>
      </w:r>
      <w:r w:rsidR="00573984">
        <w:rPr>
          <w:rFonts w:asciiTheme="majorHAnsi" w:eastAsia="Times New Roman" w:hAnsiTheme="majorHAnsi" w:cstheme="majorHAnsi"/>
          <w:bCs/>
          <w:iCs/>
          <w:sz w:val="20"/>
          <w:szCs w:val="20"/>
        </w:rPr>
        <w:t>„</w:t>
      </w:r>
      <w:r w:rsidR="007A1665">
        <w:rPr>
          <w:rFonts w:asciiTheme="majorHAnsi" w:eastAsia="Times New Roman" w:hAnsiTheme="majorHAnsi" w:cstheme="majorHAnsi"/>
          <w:bCs/>
          <w:iCs/>
          <w:sz w:val="20"/>
          <w:szCs w:val="20"/>
        </w:rPr>
        <w:t>Modellbildungsprozess und Gestaltungsprinzipien des Sachrechnens</w:t>
      </w:r>
      <w:r w:rsidR="00573984">
        <w:rPr>
          <w:rFonts w:asciiTheme="majorHAnsi" w:eastAsia="Times New Roman" w:hAnsiTheme="majorHAnsi" w:cstheme="majorHAnsi"/>
          <w:bCs/>
          <w:iCs/>
          <w:sz w:val="20"/>
          <w:szCs w:val="20"/>
        </w:rPr>
        <w:t>“</w:t>
      </w:r>
      <w:r w:rsidR="00844994" w:rsidRPr="00573984">
        <w:rPr>
          <w:rFonts w:asciiTheme="majorHAnsi" w:eastAsia="Times New Roman" w:hAnsiTheme="majorHAnsi" w:cstheme="majorHAnsi"/>
          <w:bCs/>
          <w:iCs/>
          <w:sz w:val="20"/>
          <w:szCs w:val="20"/>
        </w:rPr>
        <w:t xml:space="preserve"> </w:t>
      </w:r>
      <w:r w:rsidRPr="00573984">
        <w:rPr>
          <w:rFonts w:asciiTheme="majorHAnsi" w:eastAsia="Times New Roman" w:hAnsiTheme="majorHAnsi" w:cstheme="majorHAnsi"/>
          <w:bCs/>
          <w:iCs/>
          <w:sz w:val="20"/>
          <w:szCs w:val="20"/>
        </w:rPr>
        <w:t>(siehe hierzu Steckbrief):</w:t>
      </w:r>
    </w:p>
    <w:p w14:paraId="5FE07C8B" w14:textId="752B1A3B" w:rsidR="001A65C1" w:rsidRPr="00573984" w:rsidRDefault="001A65C1" w:rsidP="00823548">
      <w:pPr>
        <w:numPr>
          <w:ilvl w:val="0"/>
          <w:numId w:val="27"/>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Kürzung: Rückblick auf Baustein 1 sowie Reflexion der Distanzaufgabe entfallen</w:t>
      </w:r>
      <w:r w:rsidR="002469A0" w:rsidRPr="00573984">
        <w:rPr>
          <w:rFonts w:asciiTheme="majorHAnsi" w:eastAsia="Times New Roman" w:hAnsiTheme="majorHAnsi" w:cstheme="majorHAnsi"/>
          <w:bCs/>
          <w:iCs/>
          <w:sz w:val="20"/>
          <w:szCs w:val="20"/>
        </w:rPr>
        <w:t xml:space="preserve"> (Folie 6)</w:t>
      </w:r>
    </w:p>
    <w:p w14:paraId="7A112D28" w14:textId="65ABF3AF" w:rsidR="009A3DA2" w:rsidRPr="00573984" w:rsidRDefault="009A3DA2" w:rsidP="00823548">
      <w:pPr>
        <w:numPr>
          <w:ilvl w:val="0"/>
          <w:numId w:val="27"/>
        </w:numPr>
        <w:spacing w:after="0"/>
        <w:ind w:left="284" w:hanging="284"/>
        <w:contextualSpacing w:val="0"/>
        <w:rPr>
          <w:rFonts w:asciiTheme="majorHAnsi" w:eastAsia="Times New Roman" w:hAnsiTheme="majorHAnsi" w:cstheme="majorHAnsi"/>
          <w:bCs/>
          <w:iCs/>
          <w:sz w:val="20"/>
          <w:szCs w:val="20"/>
        </w:rPr>
      </w:pPr>
      <w:r w:rsidRPr="00573984">
        <w:rPr>
          <w:rFonts w:asciiTheme="majorHAnsi" w:eastAsia="Times New Roman" w:hAnsiTheme="majorHAnsi" w:cstheme="majorHAnsi"/>
          <w:bCs/>
          <w:iCs/>
          <w:sz w:val="20"/>
          <w:szCs w:val="20"/>
        </w:rPr>
        <w:t xml:space="preserve">Kürzung bei der Thematisierung </w:t>
      </w:r>
      <w:r w:rsidR="00573984">
        <w:rPr>
          <w:rFonts w:asciiTheme="majorHAnsi" w:eastAsia="Times New Roman" w:hAnsiTheme="majorHAnsi" w:cstheme="majorHAnsi"/>
          <w:bCs/>
          <w:iCs/>
          <w:sz w:val="20"/>
          <w:szCs w:val="20"/>
        </w:rPr>
        <w:t>„</w:t>
      </w:r>
      <w:r w:rsidR="001A65C1" w:rsidRPr="00573984">
        <w:rPr>
          <w:rFonts w:asciiTheme="majorHAnsi" w:eastAsia="Times New Roman" w:hAnsiTheme="majorHAnsi" w:cstheme="majorHAnsi"/>
          <w:bCs/>
          <w:iCs/>
          <w:sz w:val="20"/>
          <w:szCs w:val="20"/>
        </w:rPr>
        <w:t>Hil</w:t>
      </w:r>
      <w:r w:rsidR="00573984">
        <w:rPr>
          <w:rFonts w:asciiTheme="majorHAnsi" w:eastAsia="Times New Roman" w:hAnsiTheme="majorHAnsi" w:cstheme="majorHAnsi"/>
          <w:bCs/>
          <w:iCs/>
          <w:sz w:val="20"/>
          <w:szCs w:val="20"/>
        </w:rPr>
        <w:t>fen beim Lösen von Sachaufgaben“ durch Aufgreifen der obigen „</w:t>
      </w:r>
      <w:r w:rsidR="001A65C1" w:rsidRPr="00573984">
        <w:rPr>
          <w:rFonts w:asciiTheme="majorHAnsi" w:eastAsia="Times New Roman" w:hAnsiTheme="majorHAnsi" w:cstheme="majorHAnsi"/>
          <w:bCs/>
          <w:iCs/>
          <w:sz w:val="20"/>
          <w:szCs w:val="20"/>
        </w:rPr>
        <w:t>mehrdeutigen Textaufgabe</w:t>
      </w:r>
      <w:r w:rsidR="00573984">
        <w:rPr>
          <w:rFonts w:asciiTheme="majorHAnsi" w:eastAsia="Times New Roman" w:hAnsiTheme="majorHAnsi" w:cstheme="majorHAnsi"/>
          <w:bCs/>
          <w:iCs/>
          <w:sz w:val="20"/>
          <w:szCs w:val="20"/>
        </w:rPr>
        <w:t>“</w:t>
      </w:r>
      <w:r w:rsidR="00C63D55">
        <w:rPr>
          <w:rFonts w:asciiTheme="majorHAnsi" w:eastAsia="Times New Roman" w:hAnsiTheme="majorHAnsi" w:cstheme="majorHAnsi"/>
          <w:bCs/>
          <w:iCs/>
          <w:sz w:val="20"/>
          <w:szCs w:val="20"/>
        </w:rPr>
        <w:t xml:space="preserve"> (Folien 19</w:t>
      </w:r>
      <w:r w:rsidR="00C63D55">
        <w:t>–</w:t>
      </w:r>
      <w:r w:rsidR="002469A0" w:rsidRPr="00573984">
        <w:rPr>
          <w:rFonts w:asciiTheme="majorHAnsi" w:eastAsia="Times New Roman" w:hAnsiTheme="majorHAnsi" w:cstheme="majorHAnsi"/>
          <w:bCs/>
          <w:iCs/>
          <w:sz w:val="20"/>
          <w:szCs w:val="20"/>
        </w:rPr>
        <w:t>26)</w:t>
      </w:r>
    </w:p>
    <w:p w14:paraId="64F499A1" w14:textId="53787D3A" w:rsidR="00C63D55" w:rsidRDefault="009A3DA2" w:rsidP="00823548">
      <w:pPr>
        <w:numPr>
          <w:ilvl w:val="0"/>
          <w:numId w:val="27"/>
        </w:numPr>
        <w:spacing w:after="0"/>
        <w:ind w:left="284" w:hanging="284"/>
        <w:contextualSpacing w:val="0"/>
        <w:rPr>
          <w:rFonts w:asciiTheme="majorHAnsi" w:hAnsiTheme="majorHAnsi"/>
          <w:sz w:val="20"/>
          <w:szCs w:val="20"/>
        </w:rPr>
      </w:pPr>
      <w:r w:rsidRPr="00573984">
        <w:rPr>
          <w:rFonts w:asciiTheme="majorHAnsi" w:eastAsia="Times New Roman" w:hAnsiTheme="majorHAnsi" w:cstheme="majorHAnsi"/>
          <w:bCs/>
          <w:iCs/>
          <w:sz w:val="20"/>
          <w:szCs w:val="20"/>
        </w:rPr>
        <w:t xml:space="preserve">Kürzung bei der Thematisierung </w:t>
      </w:r>
      <w:r w:rsidR="00573984">
        <w:rPr>
          <w:rFonts w:asciiTheme="majorHAnsi" w:eastAsia="Times New Roman" w:hAnsiTheme="majorHAnsi" w:cstheme="majorHAnsi"/>
          <w:bCs/>
          <w:iCs/>
          <w:sz w:val="20"/>
          <w:szCs w:val="20"/>
        </w:rPr>
        <w:t>„Merkmale guter Sachaufgaben“</w:t>
      </w:r>
      <w:r w:rsidRPr="00573984">
        <w:rPr>
          <w:rFonts w:asciiTheme="majorHAnsi" w:eastAsia="Times New Roman" w:hAnsiTheme="majorHAnsi" w:cstheme="majorHAnsi"/>
          <w:bCs/>
          <w:iCs/>
          <w:sz w:val="20"/>
          <w:szCs w:val="20"/>
        </w:rPr>
        <w:t xml:space="preserve"> (mündlich oder Zusammenfassung auf einer neu zu erstellenden Folie)</w:t>
      </w:r>
      <w:r w:rsidR="00C63D55">
        <w:rPr>
          <w:rFonts w:asciiTheme="majorHAnsi" w:eastAsia="Times New Roman" w:hAnsiTheme="majorHAnsi" w:cstheme="majorHAnsi"/>
          <w:bCs/>
          <w:iCs/>
          <w:sz w:val="20"/>
          <w:szCs w:val="20"/>
        </w:rPr>
        <w:t xml:space="preserve"> (Folien 32</w:t>
      </w:r>
      <w:r w:rsidR="00C63D55">
        <w:t>–</w:t>
      </w:r>
      <w:r w:rsidR="002469A0" w:rsidRPr="00573984">
        <w:rPr>
          <w:rFonts w:asciiTheme="majorHAnsi" w:eastAsia="Times New Roman" w:hAnsiTheme="majorHAnsi" w:cstheme="majorHAnsi"/>
          <w:bCs/>
          <w:iCs/>
          <w:sz w:val="20"/>
          <w:szCs w:val="20"/>
        </w:rPr>
        <w:t>34)</w:t>
      </w:r>
    </w:p>
    <w:p w14:paraId="5068F93B" w14:textId="77777777" w:rsidR="00C965C2" w:rsidRPr="00C965C2" w:rsidRDefault="00C965C2" w:rsidP="00C965C2">
      <w:pPr>
        <w:spacing w:after="0"/>
        <w:ind w:left="360"/>
        <w:contextualSpacing w:val="0"/>
        <w:rPr>
          <w:rFonts w:asciiTheme="majorHAnsi" w:hAnsiTheme="majorHAnsi"/>
          <w:sz w:val="20"/>
          <w:szCs w:val="20"/>
        </w:rPr>
      </w:pPr>
    </w:p>
    <w:tbl>
      <w:tblPr>
        <w:tblStyle w:val="Tabellenraster"/>
        <w:tblpPr w:leftFromText="141" w:rightFromText="141" w:vertAnchor="text" w:tblpY="1"/>
        <w:tblOverlap w:val="nev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701"/>
        <w:gridCol w:w="7989"/>
      </w:tblGrid>
      <w:tr w:rsidR="005E1694" w:rsidRPr="005E1694" w14:paraId="61A39F73" w14:textId="77777777" w:rsidTr="00BF0794">
        <w:trPr>
          <w:trHeight w:val="1054"/>
          <w:tblCellSpacing w:w="60" w:type="dxa"/>
        </w:trPr>
        <w:tc>
          <w:tcPr>
            <w:tcW w:w="1521" w:type="dxa"/>
            <w:tcMar>
              <w:top w:w="0" w:type="dxa"/>
              <w:left w:w="0" w:type="dxa"/>
              <w:bottom w:w="0" w:type="dxa"/>
              <w:right w:w="0" w:type="dxa"/>
            </w:tcMar>
          </w:tcPr>
          <w:p w14:paraId="53CD7C01" w14:textId="24F130BE" w:rsidR="005E1694" w:rsidRPr="00746CE9" w:rsidRDefault="00746CE9" w:rsidP="00123A8A">
            <w:pPr>
              <w:pStyle w:val="3berschrift"/>
              <w:framePr w:hSpace="0" w:wrap="auto" w:vAnchor="margin" w:yAlign="inline"/>
              <w:suppressOverlap w:val="0"/>
            </w:pPr>
            <w:r>
              <w:t xml:space="preserve">Zielgruppe </w:t>
            </w:r>
            <w:r>
              <w:br/>
              <w:t>und Ziele</w:t>
            </w:r>
          </w:p>
        </w:tc>
        <w:tc>
          <w:tcPr>
            <w:tcW w:w="7809" w:type="dxa"/>
            <w:tcMar>
              <w:top w:w="0" w:type="dxa"/>
              <w:left w:w="0" w:type="dxa"/>
              <w:bottom w:w="0" w:type="dxa"/>
              <w:right w:w="0" w:type="dxa"/>
            </w:tcMar>
          </w:tcPr>
          <w:p w14:paraId="59CA5EE7" w14:textId="7F3BF279" w:rsidR="0015442E" w:rsidRDefault="0015442E" w:rsidP="00123A8A">
            <w:pPr>
              <w:pStyle w:val="4Flietext"/>
            </w:pPr>
            <w:r>
              <w:t>(Fachfremde) Lehrpersonen der Grund- und Förderschule</w:t>
            </w:r>
          </w:p>
          <w:p w14:paraId="478CABC2" w14:textId="743A313F" w:rsidR="00363A39" w:rsidRDefault="007F5B21" w:rsidP="00123A8A">
            <w:pPr>
              <w:pStyle w:val="5Aufzhlung"/>
              <w:framePr w:wrap="auto"/>
              <w:jc w:val="left"/>
              <w:rPr>
                <w:b/>
              </w:rPr>
            </w:pPr>
            <w:r>
              <w:t>berücksichtigen</w:t>
            </w:r>
            <w:r w:rsidRPr="00523AEF">
              <w:t xml:space="preserve"> </w:t>
            </w:r>
            <w:r w:rsidR="00363A39">
              <w:t>zentrale Ziele und Funktionen des Sachrechnens</w:t>
            </w:r>
            <w:r>
              <w:t xml:space="preserve"> bei der Unterrichtsplanung</w:t>
            </w:r>
            <w:r w:rsidR="00363A39">
              <w:t>,</w:t>
            </w:r>
          </w:p>
          <w:p w14:paraId="7AA6114E" w14:textId="77777777" w:rsidR="00363A39" w:rsidRPr="00CE7F31" w:rsidRDefault="00363A39" w:rsidP="00123A8A">
            <w:pPr>
              <w:pStyle w:val="5Aufzhlung"/>
              <w:framePr w:wrap="auto"/>
              <w:jc w:val="left"/>
              <w:rPr>
                <w:b/>
              </w:rPr>
            </w:pPr>
            <w:r>
              <w:t xml:space="preserve">kennen unterschiedliche Typen von Sachaufgaben und können diese vor dem Hintergrund differenter Zielsetzungen und Funktionen des Sachrechnens bewerten </w:t>
            </w:r>
            <w:r w:rsidRPr="00CE7F31">
              <w:t>und für den eigenen Unterricht auswählen,</w:t>
            </w:r>
          </w:p>
          <w:p w14:paraId="4FF2E9C0" w14:textId="3325EA33" w:rsidR="00363A39" w:rsidRDefault="007F5B21" w:rsidP="00123A8A">
            <w:pPr>
              <w:pStyle w:val="5Aufzhlung"/>
              <w:framePr w:wrap="auto"/>
              <w:jc w:val="left"/>
              <w:rPr>
                <w:b/>
              </w:rPr>
            </w:pPr>
            <w:r>
              <w:t>bedenken die</w:t>
            </w:r>
            <w:r w:rsidR="00363A39">
              <w:t xml:space="preserve"> </w:t>
            </w:r>
            <w:r w:rsidR="00D65860">
              <w:t>besonderen Anforderungen</w:t>
            </w:r>
            <w:r w:rsidR="00363A39">
              <w:t>, welche bei der Bearbeitung von Sachaufgaben an die Schülerinnen und Schüler gestellt werden,</w:t>
            </w:r>
          </w:p>
          <w:p w14:paraId="7F27A946" w14:textId="0F66291C" w:rsidR="009F47EB" w:rsidRDefault="00363A39" w:rsidP="00123A8A">
            <w:pPr>
              <w:pStyle w:val="5Aufzhlung"/>
              <w:framePr w:wrap="auto"/>
              <w:jc w:val="left"/>
            </w:pPr>
            <w:r>
              <w:t>wissen um den hohen Stellenwert prozessbezogener Kompetenzen u. a. für die Bearbeitung von Sachaufgaben,</w:t>
            </w:r>
          </w:p>
          <w:p w14:paraId="5E0302FB" w14:textId="77777777" w:rsidR="00363A39" w:rsidRDefault="00363A39" w:rsidP="00123A8A">
            <w:pPr>
              <w:pStyle w:val="5Aufzhlung"/>
              <w:framePr w:wrap="auto"/>
              <w:jc w:val="left"/>
              <w:rPr>
                <w:b/>
              </w:rPr>
            </w:pPr>
            <w:r>
              <w:t>können den Modellbildungsprozess anhand des Modellierungskreislaufes nachvollziehen und anwenden,</w:t>
            </w:r>
          </w:p>
          <w:p w14:paraId="34964DCC" w14:textId="77777777" w:rsidR="00363A39" w:rsidRDefault="00363A39" w:rsidP="00123A8A">
            <w:pPr>
              <w:pStyle w:val="5Aufzhlung"/>
              <w:framePr w:wrap="auto"/>
              <w:jc w:val="left"/>
              <w:rPr>
                <w:b/>
              </w:rPr>
            </w:pPr>
            <w:r>
              <w:t>sind für typische Fehler und Schwierigkeiten, die bei der Bearbeitung von Sachaufgaben auftreten können, sensibilisiert,</w:t>
            </w:r>
          </w:p>
          <w:p w14:paraId="05335332" w14:textId="74DCC3E4" w:rsidR="00363A39" w:rsidRDefault="007F5B21" w:rsidP="00123A8A">
            <w:pPr>
              <w:pStyle w:val="5Aufzhlung"/>
              <w:framePr w:wrap="auto"/>
              <w:jc w:val="left"/>
              <w:rPr>
                <w:b/>
              </w:rPr>
            </w:pPr>
            <w:r>
              <w:t>können</w:t>
            </w:r>
            <w:r w:rsidR="00363A39">
              <w:t xml:space="preserve"> Schülerinnen und Schüler bei der Bearbeitung komplexer Sachaufgaben unterstützen,</w:t>
            </w:r>
          </w:p>
          <w:p w14:paraId="1D0B4E9A" w14:textId="54540999" w:rsidR="00363A39" w:rsidRDefault="007F5B21" w:rsidP="00123A8A">
            <w:pPr>
              <w:pStyle w:val="5Aufzhlung"/>
              <w:framePr w:wrap="auto"/>
              <w:jc w:val="left"/>
              <w:rPr>
                <w:b/>
              </w:rPr>
            </w:pPr>
            <w:r>
              <w:t xml:space="preserve">berücksichtigen </w:t>
            </w:r>
            <w:r w:rsidR="00363A39">
              <w:t>zentrale Prinzipien für die Behandlung kontextbezogener Aufgaben und Situationen im Mathematikunterricht,</w:t>
            </w:r>
          </w:p>
          <w:p w14:paraId="686B556B" w14:textId="77777777" w:rsidR="00363A39" w:rsidRDefault="00363A39" w:rsidP="00123A8A">
            <w:pPr>
              <w:pStyle w:val="5Aufzhlung"/>
              <w:framePr w:wrap="auto"/>
              <w:jc w:val="left"/>
            </w:pPr>
            <w:r>
              <w:t>sind mit den Merkmalen „guter Sachaufgaben“ vertraut.</w:t>
            </w:r>
          </w:p>
          <w:p w14:paraId="668D9BEC" w14:textId="7F1F2214" w:rsidR="0075345D" w:rsidRPr="009F47EB" w:rsidRDefault="0075345D" w:rsidP="00123A8A">
            <w:pPr>
              <w:pStyle w:val="5Aufzhlung"/>
              <w:framePr w:wrap="auto"/>
              <w:numPr>
                <w:ilvl w:val="0"/>
                <w:numId w:val="0"/>
              </w:numPr>
            </w:pPr>
          </w:p>
        </w:tc>
      </w:tr>
      <w:tr w:rsidR="005E1694" w:rsidRPr="005E1694" w14:paraId="1E71A038" w14:textId="77777777" w:rsidTr="00BF0794">
        <w:trPr>
          <w:trHeight w:val="2323"/>
          <w:tblCellSpacing w:w="60" w:type="dxa"/>
        </w:trPr>
        <w:tc>
          <w:tcPr>
            <w:tcW w:w="1521" w:type="dxa"/>
            <w:tcMar>
              <w:top w:w="0" w:type="dxa"/>
              <w:left w:w="0" w:type="dxa"/>
              <w:bottom w:w="0" w:type="dxa"/>
              <w:right w:w="0" w:type="dxa"/>
            </w:tcMar>
          </w:tcPr>
          <w:p w14:paraId="5D28DC23" w14:textId="53C04BBE" w:rsidR="005E1694" w:rsidRPr="005E1694" w:rsidRDefault="00746CE9" w:rsidP="00123A8A">
            <w:pPr>
              <w:pStyle w:val="3berschrift"/>
              <w:framePr w:hSpace="0" w:wrap="auto" w:vAnchor="margin" w:yAlign="inline"/>
              <w:suppressOverlap w:val="0"/>
            </w:pPr>
            <w:r>
              <w:t>Hintergrund</w:t>
            </w:r>
          </w:p>
        </w:tc>
        <w:tc>
          <w:tcPr>
            <w:tcW w:w="7809" w:type="dxa"/>
            <w:tcMar>
              <w:top w:w="0" w:type="dxa"/>
              <w:left w:w="0" w:type="dxa"/>
              <w:bottom w:w="0" w:type="dxa"/>
              <w:right w:w="0" w:type="dxa"/>
            </w:tcMar>
          </w:tcPr>
          <w:p w14:paraId="15A2B7CB" w14:textId="23C0F0AE" w:rsidR="009F47EB" w:rsidRPr="005E1694" w:rsidRDefault="001A71A7" w:rsidP="00123A8A">
            <w:pPr>
              <w:pStyle w:val="4Flietext"/>
            </w:pPr>
            <w:r>
              <w:t>Kontextbezogene Aufgaben bzw. Sachaufgaben nehmen einen zentralen Stellenwert im Mathematikunterricht der Grundschule ein. Die Auseinandersetzung mit verschiedenen Sachsituationen soll dabei nicht nur der Veranschaulichung mathematischer Operationen dienen, sondern zur Umwelterschließung und Alltagsbewältigung beitragen (vgl. Franke &amp; Ruwisch 2010). Die Auswahl und der Einsatz entsprechender Aufgaben sind folglich von der jeweiligen Zielsetzung und der Funktion des Sachrechnens abhängig und müssen von der Lehrperson kritisch reflektiert werden (vgl. Krauthausen &amp; Scherer 2007). Darüber hinaus muss</w:t>
            </w:r>
            <w:r w:rsidRPr="00523AEF">
              <w:t xml:space="preserve"> </w:t>
            </w:r>
            <w:r>
              <w:t>sich die Lehrperson der besonderen Herausforderungen bewusst sein, welche die Bearbeitung von Sachaufgaben an die Schülerinnen und Schüler stellt, um deren Lernprozesse d</w:t>
            </w:r>
            <w:r w:rsidR="00F9214E">
              <w:t xml:space="preserve">urch entsprechende Maßnahmen </w:t>
            </w:r>
            <w:r>
              <w:t>unterstützen</w:t>
            </w:r>
            <w:r w:rsidR="00F9214E">
              <w:t xml:space="preserve"> zu können</w:t>
            </w:r>
            <w:r>
              <w:t xml:space="preserve"> (vgl. Scherer &amp; Moser Opitz 2010).</w:t>
            </w:r>
          </w:p>
        </w:tc>
      </w:tr>
      <w:tr w:rsidR="002B4EF7" w:rsidRPr="005E1694" w14:paraId="657C805D" w14:textId="77777777" w:rsidTr="00BF0794">
        <w:trPr>
          <w:trHeight w:val="2036"/>
          <w:tblCellSpacing w:w="60" w:type="dxa"/>
        </w:trPr>
        <w:tc>
          <w:tcPr>
            <w:tcW w:w="1521" w:type="dxa"/>
            <w:tcMar>
              <w:top w:w="0" w:type="dxa"/>
              <w:left w:w="0" w:type="dxa"/>
              <w:bottom w:w="0" w:type="dxa"/>
              <w:right w:w="0" w:type="dxa"/>
            </w:tcMar>
          </w:tcPr>
          <w:p w14:paraId="3F6ACFE2" w14:textId="7F5B51D0" w:rsidR="002B4EF7" w:rsidRPr="005E1694" w:rsidRDefault="002B4EF7" w:rsidP="00123A8A">
            <w:pPr>
              <w:pStyle w:val="3berschrift"/>
              <w:framePr w:hSpace="0" w:wrap="auto" w:vAnchor="margin" w:yAlign="inline"/>
              <w:suppressOverlap w:val="0"/>
            </w:pPr>
            <w:r w:rsidRPr="005E1694">
              <w:t>Grundidee</w:t>
            </w:r>
            <w:r>
              <w:t xml:space="preserve"> des Moduls</w:t>
            </w:r>
          </w:p>
        </w:tc>
        <w:tc>
          <w:tcPr>
            <w:tcW w:w="7809" w:type="dxa"/>
            <w:tcMar>
              <w:top w:w="0" w:type="dxa"/>
              <w:left w:w="0" w:type="dxa"/>
              <w:bottom w:w="0" w:type="dxa"/>
              <w:right w:w="0" w:type="dxa"/>
            </w:tcMar>
          </w:tcPr>
          <w:p w14:paraId="1D0276AB" w14:textId="3888C19E" w:rsidR="002B4EF7" w:rsidRDefault="0015442E" w:rsidP="00123A8A">
            <w:pPr>
              <w:pStyle w:val="4Flietext"/>
            </w:pPr>
            <w:r>
              <w:t>Das Fortbildungsmodul</w:t>
            </w:r>
            <w:r w:rsidRPr="00F42F71">
              <w:t xml:space="preserve"> befasst sich mit </w:t>
            </w:r>
            <w:r w:rsidR="001A71A7">
              <w:t xml:space="preserve">dem Sachrechnen im Mathematikunterricht der Grundschule </w:t>
            </w:r>
            <w:r w:rsidRPr="00F42F71">
              <w:t>und setzt zwei Schwerpunkte</w:t>
            </w:r>
            <w:r>
              <w:t>:</w:t>
            </w:r>
            <w:r w:rsidRPr="00F42F71">
              <w:t xml:space="preserve"> Zum einen werden die </w:t>
            </w:r>
            <w:r w:rsidR="002C276D">
              <w:t xml:space="preserve">Teilnehmenden mit den theoretischen Grundlagen des Sachrechnens im Mathematikunterricht der Grundschule bekannt gemacht. Dabei wird den Zielen und Funktionen des Sachrechnens, den verschiedenen Typen von Sachaufgaben, dem Modellbildungsprozess und </w:t>
            </w:r>
            <w:r w:rsidR="000D25D2">
              <w:t xml:space="preserve">den zentralen </w:t>
            </w:r>
            <w:r w:rsidR="002C276D">
              <w:t>Gestaltungsprinzipen für die Behandlung von Sachaufgaben im Unterricht eine besondere Aufmerksamkeit geschenkt.</w:t>
            </w:r>
            <w:r w:rsidRPr="00F42F71">
              <w:t xml:space="preserve"> Zum anderen </w:t>
            </w:r>
            <w:r w:rsidR="002C276D">
              <w:t>erhalten die Teilnehmenden die Gelegenheit verschiedene Aufgabenformate selbst zu erprobe</w:t>
            </w:r>
            <w:r w:rsidR="000D25D2">
              <w:t xml:space="preserve">n und diese hinsichtlich besonderer Anforderungen für die Schülerinnen und Schüler zu analysieren. Dabei werden die Einsetzbarkeit der Aufgaben geprüft und konkrete Unterstützungsmöglichkeiten für die Aufgabenbearbeitung durch die Schülerinnen und Schüler </w:t>
            </w:r>
            <w:r w:rsidR="000C25A3">
              <w:t>entwickelt und besprochen</w:t>
            </w:r>
            <w:r w:rsidR="000D25D2">
              <w:t>.</w:t>
            </w:r>
          </w:p>
          <w:p w14:paraId="7E0373C0" w14:textId="21260F39" w:rsidR="002A070E" w:rsidRPr="00280691" w:rsidRDefault="002A070E" w:rsidP="00123A8A">
            <w:pPr>
              <w:pStyle w:val="4Flietext"/>
            </w:pPr>
          </w:p>
        </w:tc>
      </w:tr>
      <w:tr w:rsidR="00B61487" w:rsidRPr="005E1694" w14:paraId="2A9B4F34" w14:textId="77777777" w:rsidTr="00123A8A">
        <w:trPr>
          <w:trHeight w:val="226"/>
          <w:tblCellSpacing w:w="60" w:type="dxa"/>
        </w:trPr>
        <w:tc>
          <w:tcPr>
            <w:tcW w:w="9450" w:type="dxa"/>
            <w:gridSpan w:val="2"/>
            <w:tcMar>
              <w:top w:w="0" w:type="dxa"/>
              <w:left w:w="0" w:type="dxa"/>
              <w:bottom w:w="0" w:type="dxa"/>
              <w:right w:w="0" w:type="dxa"/>
            </w:tcMar>
          </w:tcPr>
          <w:p w14:paraId="0F00DA75" w14:textId="77777777" w:rsidR="00FE44EC" w:rsidRDefault="00594FF2" w:rsidP="00123A8A">
            <w:pPr>
              <w:pStyle w:val="3berschrift"/>
              <w:framePr w:hSpace="0" w:wrap="auto" w:vAnchor="margin" w:yAlign="inline"/>
              <w:suppressOverlap w:val="0"/>
            </w:pPr>
            <w:r>
              <w:t>Verfügbare Bausteine</w:t>
            </w:r>
          </w:p>
          <w:p w14:paraId="7019D8B3" w14:textId="216085FC" w:rsidR="0045480C" w:rsidRPr="005E1694" w:rsidRDefault="0045480C" w:rsidP="00123A8A">
            <w:pPr>
              <w:pStyle w:val="3berschrift"/>
              <w:framePr w:hSpace="0" w:wrap="auto" w:vAnchor="margin" w:yAlign="inline"/>
              <w:suppressOverlap w:val="0"/>
            </w:pPr>
          </w:p>
        </w:tc>
      </w:tr>
      <w:tr w:rsidR="00296845" w:rsidRPr="005E1694" w14:paraId="508E0D6C" w14:textId="77777777" w:rsidTr="00BF0794">
        <w:trPr>
          <w:tblCellSpacing w:w="60" w:type="dxa"/>
        </w:trPr>
        <w:tc>
          <w:tcPr>
            <w:tcW w:w="1521" w:type="dxa"/>
            <w:tcMar>
              <w:top w:w="0" w:type="dxa"/>
              <w:left w:w="0" w:type="dxa"/>
              <w:bottom w:w="0" w:type="dxa"/>
              <w:right w:w="0" w:type="dxa"/>
            </w:tcMar>
          </w:tcPr>
          <w:p w14:paraId="233A4141" w14:textId="77777777" w:rsidR="00296845" w:rsidRPr="005E1694" w:rsidRDefault="00296845" w:rsidP="00123A8A">
            <w:pPr>
              <w:pStyle w:val="3berschrift"/>
              <w:framePr w:hSpace="0" w:wrap="auto" w:vAnchor="margin" w:yAlign="inline"/>
              <w:suppressOverlap w:val="0"/>
            </w:pPr>
            <w:r>
              <w:t>Baustein 1</w:t>
            </w:r>
          </w:p>
        </w:tc>
        <w:tc>
          <w:tcPr>
            <w:tcW w:w="7809" w:type="dxa"/>
            <w:tcMar>
              <w:top w:w="0" w:type="dxa"/>
              <w:left w:w="0" w:type="dxa"/>
              <w:bottom w:w="0" w:type="dxa"/>
              <w:right w:w="0" w:type="dxa"/>
            </w:tcMar>
          </w:tcPr>
          <w:p w14:paraId="57296E77" w14:textId="50300DF7" w:rsidR="004033E2" w:rsidRDefault="00E737D0" w:rsidP="00123A8A">
            <w:pPr>
              <w:pStyle w:val="3berschrift"/>
              <w:framePr w:hSpace="0" w:wrap="auto" w:vAnchor="margin" w:yAlign="inline"/>
              <w:suppressOverlap w:val="0"/>
            </w:pPr>
            <w:r>
              <w:t xml:space="preserve">Ziele und </w:t>
            </w:r>
            <w:r w:rsidR="004033E2">
              <w:t>Funktionen des Sachrechnens</w:t>
            </w:r>
          </w:p>
          <w:p w14:paraId="74D74E05" w14:textId="77777777" w:rsidR="00296845" w:rsidRDefault="004B3141" w:rsidP="00123A8A">
            <w:pPr>
              <w:pStyle w:val="4Flietext"/>
            </w:pPr>
            <w:r>
              <w:t>In diesem Baustein</w:t>
            </w:r>
            <w:r w:rsidR="001A71A7" w:rsidRPr="00523AEF">
              <w:t xml:space="preserve"> erha</w:t>
            </w:r>
            <w:r w:rsidR="001A71A7">
              <w:t xml:space="preserve">lten die Teilnehmenden </w:t>
            </w:r>
            <w:r w:rsidR="001A71A7" w:rsidRPr="00523AEF">
              <w:t xml:space="preserve">einen Einblick in die </w:t>
            </w:r>
            <w:r w:rsidR="001A71A7">
              <w:t>verschiedenen Ziele und Funktionen des Sachrechnens. Sie lernen unterschiedliche Typen von Sachaufgaben kennen, welche kritisch zu reflektieren und vor dem Hintergrund der eingangs vorgestellten Ziele und Funktionen einzuordnen und zu bewerten sind. Die Teilnehmenden setzen sich anhand ausgewählter Schülerbeispiele mit den spezifischen Anforderungen auseinander, welche bei der Bearbeitung von Sachaufgaben an die Lernenden gestellt werden und verknüpfen diese mit den in den Standards und Lehrplänen Mathematik beschriebenen prozess- und i</w:t>
            </w:r>
            <w:r w:rsidR="002F29D9">
              <w:t>nhaltsbezogenen Kompetenzen.</w:t>
            </w:r>
          </w:p>
          <w:p w14:paraId="7269667F" w14:textId="2B624AAB" w:rsidR="008536E2" w:rsidRPr="008227BA" w:rsidRDefault="008536E2" w:rsidP="00123A8A">
            <w:pPr>
              <w:pStyle w:val="4Flietext"/>
            </w:pPr>
          </w:p>
        </w:tc>
      </w:tr>
      <w:tr w:rsidR="004B3141" w:rsidRPr="005E1694" w14:paraId="18F32F8F" w14:textId="77777777" w:rsidTr="00BF0794">
        <w:trPr>
          <w:trHeight w:val="2407"/>
          <w:tblCellSpacing w:w="60" w:type="dxa"/>
        </w:trPr>
        <w:tc>
          <w:tcPr>
            <w:tcW w:w="1521" w:type="dxa"/>
            <w:tcMar>
              <w:top w:w="0" w:type="dxa"/>
              <w:left w:w="0" w:type="dxa"/>
              <w:bottom w:w="0" w:type="dxa"/>
              <w:right w:w="0" w:type="dxa"/>
            </w:tcMar>
          </w:tcPr>
          <w:p w14:paraId="74A5C8AA" w14:textId="77777777" w:rsidR="004B3141" w:rsidRPr="005E1694" w:rsidRDefault="004B3141" w:rsidP="00123A8A">
            <w:pPr>
              <w:pStyle w:val="3berschrift"/>
              <w:framePr w:hSpace="0" w:wrap="auto" w:vAnchor="margin" w:yAlign="inline"/>
              <w:suppressOverlap w:val="0"/>
            </w:pPr>
            <w:r>
              <w:t>Baustein 2</w:t>
            </w:r>
          </w:p>
        </w:tc>
        <w:tc>
          <w:tcPr>
            <w:tcW w:w="7809" w:type="dxa"/>
            <w:tcMar>
              <w:top w:w="0" w:type="dxa"/>
              <w:left w:w="0" w:type="dxa"/>
              <w:bottom w:w="0" w:type="dxa"/>
              <w:right w:w="0" w:type="dxa"/>
            </w:tcMar>
          </w:tcPr>
          <w:p w14:paraId="5E1D08E9" w14:textId="3CD19E5A" w:rsidR="00254A3C" w:rsidRDefault="00254A3C" w:rsidP="00123A8A">
            <w:pPr>
              <w:pStyle w:val="3berschrift"/>
              <w:framePr w:hSpace="0" w:wrap="auto" w:vAnchor="margin" w:yAlign="inline"/>
              <w:suppressOverlap w:val="0"/>
            </w:pPr>
            <w:r>
              <w:t>Modellbildungsprozess</w:t>
            </w:r>
            <w:r w:rsidR="009B3463">
              <w:t xml:space="preserve"> und Gestaltungsprinzipien des Sachrechnens</w:t>
            </w:r>
          </w:p>
          <w:p w14:paraId="5FA35B52" w14:textId="3D4C3F8F" w:rsidR="004B3141" w:rsidRPr="0012799B" w:rsidRDefault="004B3141" w:rsidP="00123A8A">
            <w:pPr>
              <w:pStyle w:val="4Flietext"/>
            </w:pPr>
            <w:r>
              <w:t>In diesem Baustein wird</w:t>
            </w:r>
            <w:r w:rsidR="00C77B72">
              <w:t xml:space="preserve"> die prozessbezogene Kompetenz „Modellieren“</w:t>
            </w:r>
            <w:r>
              <w:t xml:space="preserve"> und die Komplexität des Modellbildungsprozesses hervorgehoben und den Teilnehmenden anhand des Modellierungskreislaufes (Klieme et al. 2001) verdeutlicht. Die Teilnehmenden setzen sich mit konkreten Problemstellungen auseinander und lernen verschiedene Möglichkeiten kennen, die Schülerinnen und Schüler bei der Bearbeitung zu unterstützen. Darüber hinaus werden den Teilnehmenden zentrale Gestaltungsprinzipien für die Behandlung kontextbezogener Aufgaben und Situationen im Mathematikunterricht und deren Bedeutung für eine gelingend</w:t>
            </w:r>
            <w:r w:rsidR="007D50A0">
              <w:t>e Unterrichtspraxis vermittelt.</w:t>
            </w:r>
          </w:p>
        </w:tc>
      </w:tr>
    </w:tbl>
    <w:tbl>
      <w:tblPr>
        <w:tblStyle w:val="Tabellenraster1"/>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1"/>
        <w:gridCol w:w="7995"/>
      </w:tblGrid>
      <w:tr w:rsidR="00BF0794" w:rsidRPr="00CE6008" w14:paraId="4C2FDA2E" w14:textId="77777777" w:rsidTr="00BF0794">
        <w:trPr>
          <w:trHeight w:val="540"/>
          <w:tblCellSpacing w:w="60" w:type="dxa"/>
        </w:trPr>
        <w:tc>
          <w:tcPr>
            <w:tcW w:w="1521" w:type="dxa"/>
            <w:tcMar>
              <w:top w:w="0" w:type="dxa"/>
              <w:left w:w="0" w:type="dxa"/>
              <w:bottom w:w="0" w:type="dxa"/>
              <w:right w:w="0" w:type="dxa"/>
            </w:tcMar>
          </w:tcPr>
          <w:p w14:paraId="18C6608D" w14:textId="5EFB21FD" w:rsidR="00CE6008" w:rsidRPr="00CE6008" w:rsidRDefault="00E77C4F" w:rsidP="008405BB">
            <w:pPr>
              <w:spacing w:after="0" w:line="240" w:lineRule="exact"/>
              <w:rPr>
                <w:rFonts w:ascii="Calibri" w:eastAsiaTheme="majorEastAsia" w:hAnsi="Calibri" w:cstheme="majorBidi"/>
                <w:b/>
                <w:bCs/>
                <w:iCs/>
                <w:color w:val="327A86"/>
                <w:spacing w:val="5"/>
                <w:sz w:val="22"/>
                <w:szCs w:val="28"/>
              </w:rPr>
            </w:pPr>
            <w:r>
              <w:rPr>
                <w:rFonts w:ascii="Calibri" w:eastAsiaTheme="majorEastAsia" w:hAnsi="Calibri" w:cstheme="majorBidi"/>
                <w:b/>
                <w:bCs/>
                <w:iCs/>
                <w:color w:val="327A86"/>
                <w:spacing w:val="5"/>
                <w:sz w:val="22"/>
                <w:szCs w:val="28"/>
              </w:rPr>
              <w:t>Literatur</w:t>
            </w:r>
          </w:p>
        </w:tc>
        <w:tc>
          <w:tcPr>
            <w:tcW w:w="7815" w:type="dxa"/>
            <w:tcMar>
              <w:top w:w="0" w:type="dxa"/>
              <w:left w:w="0" w:type="dxa"/>
              <w:bottom w:w="0" w:type="dxa"/>
              <w:right w:w="0" w:type="dxa"/>
            </w:tcMar>
          </w:tcPr>
          <w:p w14:paraId="0D72C6E9" w14:textId="77777777" w:rsidR="00CE6008" w:rsidRPr="003E6E6D" w:rsidRDefault="00CE6008" w:rsidP="008405BB">
            <w:pPr>
              <w:pStyle w:val="3aMiniberschrift"/>
              <w:rPr>
                <w:sz w:val="20"/>
              </w:rPr>
            </w:pPr>
            <w:r w:rsidRPr="003E6E6D">
              <w:rPr>
                <w:sz w:val="20"/>
              </w:rPr>
              <w:t>Grundlegende fachdidaktische Literatur zum Sachrechnen</w:t>
            </w:r>
          </w:p>
          <w:p w14:paraId="07458947" w14:textId="0AFE711E" w:rsidR="00CE6008" w:rsidRPr="0094771C" w:rsidRDefault="00CE6008" w:rsidP="008405BB">
            <w:pPr>
              <w:pStyle w:val="7Literatur"/>
              <w:framePr w:wrap="auto"/>
              <w:jc w:val="left"/>
            </w:pPr>
            <w:r w:rsidRPr="0094771C">
              <w:t>Brenninger, A. (2006). Sachrechenkartei. Rekordzahlen aus verschiedenen Wissensgebieten. Grundschulmagazin</w:t>
            </w:r>
            <w:r w:rsidR="00D14D0A" w:rsidRPr="0094771C">
              <w:t>, 74(3), 55–</w:t>
            </w:r>
            <w:r w:rsidRPr="0094771C">
              <w:t>58.</w:t>
            </w:r>
          </w:p>
          <w:p w14:paraId="11B017DA" w14:textId="77777777" w:rsidR="00CE6008" w:rsidRPr="0094771C" w:rsidRDefault="00CE6008" w:rsidP="008405BB">
            <w:pPr>
              <w:pStyle w:val="7Literatur"/>
              <w:framePr w:wrap="auto"/>
              <w:jc w:val="left"/>
            </w:pPr>
            <w:r w:rsidRPr="0094771C">
              <w:t>Franke, M. &amp; Ruwisch, S. (2010). Didaktik des Sachrechnens in der Grundschule (6. Auflage). Heidelberg: Spektrum.</w:t>
            </w:r>
          </w:p>
          <w:p w14:paraId="2B8FBC5F" w14:textId="77777777" w:rsidR="00CE6008" w:rsidRPr="0094771C" w:rsidRDefault="00CE6008" w:rsidP="008405BB">
            <w:pPr>
              <w:pStyle w:val="7Literatur"/>
              <w:framePr w:wrap="auto"/>
              <w:jc w:val="left"/>
            </w:pPr>
            <w:r w:rsidRPr="0094771C">
              <w:t>Krauthausen G. &amp; Scherer, P. (2007). Einführung in die Mathematikdidaktik (3. überarbeitete Auflage). Heidelberg: Springer Spektrum Verlag.</w:t>
            </w:r>
          </w:p>
          <w:p w14:paraId="443A4880" w14:textId="77777777" w:rsidR="00CE6008" w:rsidRPr="0094771C" w:rsidRDefault="00CE6008" w:rsidP="008405BB">
            <w:pPr>
              <w:pStyle w:val="7Literatur"/>
              <w:framePr w:wrap="auto"/>
              <w:jc w:val="left"/>
            </w:pPr>
            <w:r w:rsidRPr="0094771C">
              <w:t>Padberg, F. &amp; Benz, C. (2011). Didaktik der Arithmetik für Lehrerausbildung und Lehrerfortbildung (4., erw., stark überarb. Auflage). Heidelberg: Spektrum.</w:t>
            </w:r>
          </w:p>
          <w:p w14:paraId="0AFC34FD" w14:textId="77777777" w:rsidR="00CE6008" w:rsidRPr="0094771C" w:rsidRDefault="00CE6008" w:rsidP="008405BB">
            <w:pPr>
              <w:pStyle w:val="7Literatur"/>
              <w:framePr w:wrap="auto"/>
              <w:jc w:val="left"/>
            </w:pPr>
            <w:r w:rsidRPr="0094771C">
              <w:t>Radatz, H., Schipper, W., &amp; Dröge, R. (2000). Handbuch für den Mathematikunterricht. 1. Schuljahr. Hannover: Schroedel.</w:t>
            </w:r>
          </w:p>
          <w:p w14:paraId="08898343" w14:textId="77777777" w:rsidR="00CE6008" w:rsidRPr="0094771C" w:rsidRDefault="00CE6008" w:rsidP="008405BB">
            <w:pPr>
              <w:pStyle w:val="7Literatur"/>
              <w:framePr w:wrap="auto"/>
              <w:jc w:val="left"/>
            </w:pPr>
            <w:r w:rsidRPr="0094771C">
              <w:t>Radatz, H., Schipper, W., &amp; Dröge, R. (2000). Handbuch für den Mathematikunterricht. 2. Schuljahr. Hannover: Schroedel.</w:t>
            </w:r>
          </w:p>
          <w:p w14:paraId="1E7D6168" w14:textId="77777777" w:rsidR="00CE6008" w:rsidRPr="0094771C" w:rsidRDefault="00CE6008" w:rsidP="008405BB">
            <w:pPr>
              <w:pStyle w:val="7Literatur"/>
              <w:framePr w:wrap="auto"/>
              <w:jc w:val="left"/>
            </w:pPr>
            <w:r w:rsidRPr="0094771C">
              <w:t>Radatz, H., Schipper, W., &amp; Dröge, R. (2000). Handbuch für den Mathematikunterricht. 3. Schuljahr. Hannover: Schroedel.</w:t>
            </w:r>
          </w:p>
          <w:p w14:paraId="4B0E91DF" w14:textId="77777777" w:rsidR="00CE6008" w:rsidRPr="0094771C" w:rsidRDefault="00CE6008" w:rsidP="008405BB">
            <w:pPr>
              <w:pStyle w:val="7Literatur"/>
              <w:framePr w:wrap="auto"/>
              <w:jc w:val="left"/>
            </w:pPr>
            <w:r w:rsidRPr="0094771C">
              <w:t>Radatz, H., Schipper, W., &amp; Dröge, R. (2000). Handbuch für den Mathematikunterricht. 4. Schuljahr. Hannover: Schroedel.</w:t>
            </w:r>
          </w:p>
          <w:p w14:paraId="08FEEF9B" w14:textId="77777777" w:rsidR="00CE6008" w:rsidRPr="0094771C" w:rsidRDefault="00CE6008" w:rsidP="008405BB">
            <w:pPr>
              <w:pStyle w:val="7Literatur"/>
              <w:framePr w:wrap="auto"/>
              <w:jc w:val="left"/>
            </w:pPr>
            <w:r w:rsidRPr="0094771C">
              <w:t>Rasch, R. (2003). 42 Denk- und Sachaufgaben. Wie Kinder mathematische Aufgaben lösen und diskutieren. Seelze-Velber: Klett.</w:t>
            </w:r>
          </w:p>
          <w:p w14:paraId="373ACDBF" w14:textId="77777777" w:rsidR="00CE6008" w:rsidRPr="0094771C" w:rsidRDefault="00CE6008" w:rsidP="008405BB">
            <w:pPr>
              <w:pStyle w:val="7Literatur"/>
              <w:framePr w:wrap="auto"/>
              <w:jc w:val="left"/>
            </w:pPr>
            <w:r w:rsidRPr="0094771C">
              <w:t>Scherer, P. (2003). Produktives Lernen für Kinder mit Lernschwäche: Förderung durch Fordern. Band 2: Hundertertraum/Addition &amp; Subtraktion. Horneburg: Persen.</w:t>
            </w:r>
          </w:p>
          <w:p w14:paraId="65F3FA51" w14:textId="221B1391" w:rsidR="00CE6008" w:rsidRPr="0094771C" w:rsidRDefault="00CE6008" w:rsidP="008405BB">
            <w:pPr>
              <w:pStyle w:val="7Literatur"/>
              <w:framePr w:wrap="auto"/>
              <w:jc w:val="left"/>
            </w:pPr>
            <w:r w:rsidRPr="0094771C">
              <w:t>Scherer, P. (2004). Sachrechnen – zu anspruchsvoll für lernschwache Schülerinnen und Schüler? Lernchancen</w:t>
            </w:r>
            <w:r w:rsidR="00D14D0A" w:rsidRPr="0094771C">
              <w:t>, (37), 8–</w:t>
            </w:r>
            <w:r w:rsidRPr="0094771C">
              <w:t xml:space="preserve">12. </w:t>
            </w:r>
          </w:p>
          <w:p w14:paraId="5BD6DEC6" w14:textId="392F8602" w:rsidR="00CE6008" w:rsidRPr="0094771C" w:rsidRDefault="00CE6008" w:rsidP="008405BB">
            <w:pPr>
              <w:pStyle w:val="7Literatur"/>
              <w:framePr w:wrap="auto"/>
              <w:jc w:val="left"/>
            </w:pPr>
            <w:r w:rsidRPr="0094771C">
              <w:t>Scherer, P. (2016). Sachrechnen inklusiv. Anforderungen und Möglichkeiten zur Gestaltung von Lernangeboten. Grundschulunterricht Mathematik, 63</w:t>
            </w:r>
            <w:r w:rsidR="00D14D0A" w:rsidRPr="0094771C">
              <w:t>(1), 22–</w:t>
            </w:r>
            <w:r w:rsidRPr="0094771C">
              <w:t>25.</w:t>
            </w:r>
          </w:p>
          <w:p w14:paraId="5D2D3A9A" w14:textId="77777777" w:rsidR="00CE6008" w:rsidRPr="0094771C" w:rsidRDefault="00CE6008" w:rsidP="008405BB">
            <w:pPr>
              <w:pStyle w:val="7Literatur"/>
              <w:framePr w:wrap="auto"/>
              <w:jc w:val="left"/>
            </w:pPr>
            <w:r w:rsidRPr="0094771C">
              <w:t>Scherer, P. &amp; Moser Opitz, E. (2010). Fördern im Mathematikunterricht der Primarstufe. Heidelberg: Spektrum.</w:t>
            </w:r>
          </w:p>
          <w:p w14:paraId="2B2E1CA2" w14:textId="77777777" w:rsidR="00CE6008" w:rsidRPr="0094771C" w:rsidRDefault="00CE6008" w:rsidP="008405BB">
            <w:pPr>
              <w:pStyle w:val="7Literatur"/>
              <w:framePr w:wrap="auto"/>
              <w:jc w:val="left"/>
            </w:pPr>
            <w:r w:rsidRPr="0094771C">
              <w:t>Verschaffel, L., Greer, B. &amp; De Corte, E. (2000). Making sense of word problems. Lisse (NL): Swets &amp; Zeitlinger.</w:t>
            </w:r>
          </w:p>
          <w:p w14:paraId="4EA60698" w14:textId="09E73523" w:rsidR="00CE6008" w:rsidRPr="0094771C" w:rsidRDefault="00CE6008" w:rsidP="008405BB">
            <w:pPr>
              <w:pStyle w:val="7Literatur"/>
              <w:framePr w:wrap="auto"/>
              <w:jc w:val="left"/>
            </w:pPr>
            <w:r w:rsidRPr="0094771C">
              <w:t>Winter, H. (2003). Sachrechnen in der Grundschule. Berlin: Cornelsen, Scriptor.</w:t>
            </w:r>
          </w:p>
          <w:p w14:paraId="1E549CA2" w14:textId="77777777" w:rsidR="008701C5" w:rsidRPr="00CE6008" w:rsidRDefault="008701C5" w:rsidP="008405BB">
            <w:pPr>
              <w:pStyle w:val="7Literatur"/>
              <w:framePr w:wrap="auto"/>
            </w:pPr>
          </w:p>
          <w:p w14:paraId="5257E097" w14:textId="77777777" w:rsidR="00CE6008" w:rsidRPr="003E6E6D" w:rsidRDefault="00CE6008" w:rsidP="008405BB">
            <w:pPr>
              <w:pStyle w:val="3aMiniberschrift"/>
              <w:rPr>
                <w:sz w:val="20"/>
              </w:rPr>
            </w:pPr>
            <w:r w:rsidRPr="003E6E6D">
              <w:rPr>
                <w:sz w:val="20"/>
              </w:rPr>
              <w:t>Literatur zum Hintergrund</w:t>
            </w:r>
          </w:p>
          <w:p w14:paraId="104FE5DD" w14:textId="531AADF4" w:rsidR="00CE6008" w:rsidRPr="0094771C" w:rsidRDefault="00CE6008" w:rsidP="008405BB">
            <w:pPr>
              <w:pStyle w:val="7Literatur"/>
              <w:framePr w:wrap="auto"/>
              <w:jc w:val="left"/>
            </w:pPr>
            <w:r w:rsidRPr="0094771C">
              <w:t>Klieme, E., Neubrand, M. &amp; Lüdtke, O. (2001). Mathematische Grundbildung: Testkonzeption und Ergebnisse. In J. Baumert et al. (Hrsg.), PISA 2000. Basiskompetenzen von Schülerinnen und Schülern im int</w:t>
            </w:r>
            <w:r w:rsidR="00D14D0A" w:rsidRPr="0094771C">
              <w:t>ernationalen Vergleich. (S. 139–</w:t>
            </w:r>
            <w:r w:rsidRPr="0094771C">
              <w:t>190). Opladen: Leske Budrich.</w:t>
            </w:r>
          </w:p>
          <w:p w14:paraId="0D57E09B" w14:textId="4DE30D53" w:rsidR="00B07597" w:rsidRPr="007D2E7F" w:rsidRDefault="00B07597" w:rsidP="008405BB">
            <w:pPr>
              <w:pStyle w:val="7Literatur"/>
              <w:framePr w:wrap="auto"/>
              <w:jc w:val="left"/>
              <w:rPr>
                <w:lang w:val="en-US"/>
              </w:rPr>
            </w:pPr>
            <w:r w:rsidRPr="0094771C">
              <w:t xml:space="preserve">KMK (2005). Bildungsstandards im Fach Mathematik für den Primarbereich. </w:t>
            </w:r>
            <w:r w:rsidRPr="007D2E7F">
              <w:rPr>
                <w:lang w:val="en-US"/>
              </w:rPr>
              <w:t xml:space="preserve">URL: </w:t>
            </w:r>
            <w:r w:rsidRPr="007D2E7F">
              <w:rPr>
                <w:color w:val="327A86"/>
                <w:u w:val="single"/>
                <w:lang w:val="en-US"/>
              </w:rPr>
              <w:t>http://www.kmk.org/fileadmin/veroeffentlichungen_beschluesse/2004/2004_10_15-Bildungsstandards-Mathe-Primar.pdf</w:t>
            </w:r>
            <w:r w:rsidRPr="007D2E7F">
              <w:rPr>
                <w:lang w:val="en-US"/>
              </w:rPr>
              <w:t xml:space="preserve"> [05.01.2018].</w:t>
            </w:r>
          </w:p>
          <w:p w14:paraId="58E8939B" w14:textId="553C202D" w:rsidR="009A70D7" w:rsidRDefault="00CE6008" w:rsidP="008405BB">
            <w:pPr>
              <w:pStyle w:val="7Literatur"/>
              <w:framePr w:wrap="auto"/>
              <w:jc w:val="left"/>
            </w:pPr>
            <w:r w:rsidRPr="0094771C">
              <w:t xml:space="preserve">Ministerium für Schule und Weiterbildung des Landes Nordrhein-Westfalen (2008). Lehrplan Mathematik für die Grundschulen des Landes Nordrhein-Westfalen. URL: </w:t>
            </w:r>
            <w:r w:rsidRPr="007D2E7F">
              <w:rPr>
                <w:color w:val="327A86"/>
                <w:u w:val="single"/>
              </w:rPr>
              <w:t>http://www.standardsicherung.schulministerium.nrw.de/lehrplaene/upload/klp_gs/GS_LP_M.pdf</w:t>
            </w:r>
            <w:r w:rsidRPr="007D2E7F">
              <w:rPr>
                <w:color w:val="327A86"/>
              </w:rPr>
              <w:t xml:space="preserve"> </w:t>
            </w:r>
            <w:r w:rsidRPr="0094771C">
              <w:t>[26.08.2014].</w:t>
            </w:r>
          </w:p>
          <w:p w14:paraId="6D739632" w14:textId="77777777" w:rsidR="009A70D7" w:rsidRDefault="009A70D7" w:rsidP="008405BB">
            <w:pPr>
              <w:pStyle w:val="3aMiniberschrift"/>
              <w:rPr>
                <w:sz w:val="20"/>
              </w:rPr>
            </w:pPr>
          </w:p>
          <w:p w14:paraId="4D60D213" w14:textId="77777777" w:rsidR="00CE6008" w:rsidRPr="003E6E6D" w:rsidRDefault="00CE6008" w:rsidP="008405BB">
            <w:pPr>
              <w:pStyle w:val="3aMiniberschrift"/>
              <w:rPr>
                <w:sz w:val="20"/>
              </w:rPr>
            </w:pPr>
            <w:r w:rsidRPr="003E6E6D">
              <w:rPr>
                <w:sz w:val="20"/>
              </w:rPr>
              <w:t>Literatur zur Leistungsheterogenität im Mathematikunterricht und diesbezüglichen Konsequenzen</w:t>
            </w:r>
          </w:p>
          <w:p w14:paraId="1667F4BA" w14:textId="77777777" w:rsidR="00CE6008" w:rsidRPr="0094771C" w:rsidRDefault="00CE6008" w:rsidP="008405BB">
            <w:pPr>
              <w:pStyle w:val="7Literatur"/>
              <w:framePr w:wrap="auto"/>
              <w:jc w:val="left"/>
            </w:pPr>
            <w:r w:rsidRPr="0094771C">
              <w:t xml:space="preserve">Baumert, J. (2011). Expertenrat „Herkunft und Bildungserfolg“. Empfehlungen für Bildungspolitische Weichenstellungen in der Perspektive auf das Jahr 2020 (BW 2020). Stuttgart: Ministerium für Kultus, Jugend und Sport Baden-Württemberg. URL: </w:t>
            </w:r>
            <w:r w:rsidRPr="009C6CD3">
              <w:rPr>
                <w:color w:val="327A86"/>
                <w:u w:val="single"/>
              </w:rPr>
              <w:t>http://www.kultusportal- bw.de/servlet/PB/show/1285001/ExpertenberichtBaW%FC_online.pdf</w:t>
            </w:r>
            <w:r w:rsidRPr="009C6CD3">
              <w:rPr>
                <w:color w:val="327A86"/>
              </w:rPr>
              <w:t xml:space="preserve"> </w:t>
            </w:r>
            <w:r w:rsidRPr="0094771C">
              <w:t>[26.08.2014].</w:t>
            </w:r>
          </w:p>
          <w:p w14:paraId="2D244489" w14:textId="7A7A07F0" w:rsidR="00CE6008" w:rsidRPr="0094771C" w:rsidRDefault="00CE6008" w:rsidP="008405BB">
            <w:pPr>
              <w:pStyle w:val="7Literatur"/>
              <w:framePr w:wrap="auto"/>
              <w:jc w:val="left"/>
            </w:pPr>
            <w:r w:rsidRPr="0094771C">
              <w:t xml:space="preserve">Behörde für Schule und Weiterbildung (2011). Bildungsplan Grundschule Mathematik Hamburg. URL: </w:t>
            </w:r>
            <w:r w:rsidRPr="009C6CD3">
              <w:rPr>
                <w:color w:val="327A86"/>
                <w:u w:val="single"/>
              </w:rPr>
              <w:t>http://www.hamburg.de/contentblob/2481796/data/mathe-matik-gs.pdf</w:t>
            </w:r>
            <w:r w:rsidRPr="009C6CD3">
              <w:rPr>
                <w:color w:val="327A86"/>
              </w:rPr>
              <w:t xml:space="preserve"> </w:t>
            </w:r>
            <w:r w:rsidRPr="0094771C">
              <w:t>[26.08.2014].</w:t>
            </w:r>
          </w:p>
          <w:p w14:paraId="636601C0" w14:textId="77777777" w:rsidR="00CE6008" w:rsidRPr="0094771C" w:rsidRDefault="00CE6008" w:rsidP="008405BB">
            <w:pPr>
              <w:pStyle w:val="7Literatur"/>
              <w:framePr w:wrap="auto"/>
              <w:jc w:val="left"/>
            </w:pPr>
            <w:r w:rsidRPr="0094771C">
              <w:t>Berkemeyer, N., Bos, W. &amp; Manitius, V. (2012). Chancenspiegel. Zur Chancengerechtigkeit und Leistungsfähigkeit der deutschen Schulsysteme. Gütersloh: Verlag Bertelsmann Stiftung.</w:t>
            </w:r>
          </w:p>
          <w:p w14:paraId="5B5E159D" w14:textId="77777777" w:rsidR="00CE6008" w:rsidRPr="0094771C" w:rsidRDefault="00CE6008" w:rsidP="008405BB">
            <w:pPr>
              <w:pStyle w:val="7Literatur"/>
              <w:framePr w:wrap="auto"/>
              <w:jc w:val="left"/>
            </w:pPr>
            <w:r w:rsidRPr="0094771C">
              <w:t>Krauthausen, G. &amp; Scherer, P. (2014). Natürliche Differenzierung im Mathematikunterricht – Konzepte und Praxisbeispiele aus der Grundschule. Seelze: Kallmeyer.</w:t>
            </w:r>
          </w:p>
          <w:p w14:paraId="42F4BFC3" w14:textId="397BD43B" w:rsidR="00751ED8" w:rsidRPr="007D2E7F" w:rsidRDefault="00751ED8" w:rsidP="008405BB">
            <w:pPr>
              <w:pStyle w:val="7Literatur"/>
              <w:framePr w:wrap="auto"/>
              <w:jc w:val="left"/>
              <w:rPr>
                <w:lang w:val="en-US"/>
              </w:rPr>
            </w:pPr>
            <w:r w:rsidRPr="0094771C">
              <w:t xml:space="preserve">Ministerium für Kultus, Jugend und Sport (2008). Bildungsplan Förderschule Baden-Württemberg. </w:t>
            </w:r>
            <w:r w:rsidRPr="007D2E7F">
              <w:rPr>
                <w:lang w:val="en-US"/>
              </w:rPr>
              <w:t xml:space="preserve">URL: </w:t>
            </w:r>
            <w:r w:rsidRPr="00373036">
              <w:rPr>
                <w:color w:val="327A86"/>
                <w:u w:val="single"/>
                <w:lang w:val="en-US"/>
              </w:rPr>
              <w:t>http://www.bildung-staerkt-menschen.de/unterstuetzung/schul-arten/SoS/FS/Bildungsplan_FS.pdf</w:t>
            </w:r>
            <w:r w:rsidRPr="00373036">
              <w:rPr>
                <w:color w:val="327A86"/>
                <w:lang w:val="en-US"/>
              </w:rPr>
              <w:t xml:space="preserve"> </w:t>
            </w:r>
            <w:r w:rsidRPr="007D2E7F">
              <w:rPr>
                <w:lang w:val="en-US"/>
              </w:rPr>
              <w:t>[26.08.2014].</w:t>
            </w:r>
          </w:p>
          <w:p w14:paraId="3DA281EA" w14:textId="2D9BEB45" w:rsidR="00CE6008" w:rsidRPr="0094771C" w:rsidRDefault="00CE6008" w:rsidP="008405BB">
            <w:pPr>
              <w:pStyle w:val="7Literatur"/>
              <w:framePr w:wrap="auto"/>
              <w:jc w:val="left"/>
            </w:pPr>
            <w:r w:rsidRPr="0094771C">
              <w:t>Scherer, P. (2004). Was „messen“ Mathematikaufgaben? – Kritische Anmerkungen zu Aufgaben in den Vergleichsstudien. In H. Bartnitzky &amp; A. Speck-Hamdan (Hrsg.), Leistungen der Kinder wahrnehmen – würdigen – fördern</w:t>
            </w:r>
            <w:r w:rsidR="00D14D0A" w:rsidRPr="0094771C">
              <w:t xml:space="preserve"> (S. 270–</w:t>
            </w:r>
            <w:r w:rsidRPr="0094771C">
              <w:t>280). Frankfurt am Main: Arbeitskreis Grundschule.</w:t>
            </w:r>
          </w:p>
          <w:p w14:paraId="1E5EC647" w14:textId="77777777" w:rsidR="00CE6008" w:rsidRPr="0094771C" w:rsidRDefault="00CE6008" w:rsidP="008405BB">
            <w:pPr>
              <w:pStyle w:val="7Literatur"/>
              <w:framePr w:wrap="auto"/>
              <w:jc w:val="left"/>
            </w:pPr>
            <w:r w:rsidRPr="0094771C">
              <w:t>Stanat, P., Pant, H. A., Böhme, K. &amp; Richter, D. (2012, Hrsg.), Kompetenzen von Schülerinnen und Schülern am Ende der vierten Jahrgangsstufe in den Fächern Deutsch und Mathematik: Ergebnisse des IQB-Ländervergleichs 2011. Münster: Waxmann.</w:t>
            </w:r>
          </w:p>
          <w:p w14:paraId="34E94439" w14:textId="77777777" w:rsidR="00CE6008" w:rsidRPr="0094771C" w:rsidRDefault="00CE6008" w:rsidP="008405BB">
            <w:pPr>
              <w:pStyle w:val="7Literatur"/>
              <w:framePr w:wrap="auto"/>
              <w:jc w:val="left"/>
            </w:pPr>
            <w:r w:rsidRPr="0094771C">
              <w:t>Walther, G., van den Heuvel-Panhuizen, M., Granzer, D. &amp; Köller, O. (2008, Hrsg.), Bildungs- standards für die Grundschule: Mathematik konkret. Berlin: Cornelsen Verlag Scriptor.</w:t>
            </w:r>
          </w:p>
          <w:p w14:paraId="73EAFB8C" w14:textId="77777777" w:rsidR="00CE6008" w:rsidRPr="00CE6008" w:rsidRDefault="00CE6008" w:rsidP="008405BB">
            <w:pPr>
              <w:pStyle w:val="7Literatur"/>
              <w:framePr w:wrap="auto"/>
            </w:pPr>
          </w:p>
          <w:p w14:paraId="18C11695" w14:textId="77777777" w:rsidR="00CE6008" w:rsidRPr="003E6E6D" w:rsidRDefault="00CE6008" w:rsidP="008405BB">
            <w:pPr>
              <w:pStyle w:val="3aMiniberschrift"/>
              <w:rPr>
                <w:sz w:val="20"/>
              </w:rPr>
            </w:pPr>
            <w:r w:rsidRPr="003E6E6D">
              <w:rPr>
                <w:sz w:val="20"/>
              </w:rPr>
              <w:t>Literatur zu Sprache im Mathematikunterricht</w:t>
            </w:r>
          </w:p>
          <w:p w14:paraId="428C1B2F" w14:textId="24192F00" w:rsidR="00CE6008" w:rsidRPr="0094771C" w:rsidRDefault="00CE6008" w:rsidP="008405BB">
            <w:pPr>
              <w:pStyle w:val="7Literatur"/>
              <w:framePr w:wrap="auto"/>
              <w:jc w:val="left"/>
            </w:pPr>
            <w:r w:rsidRPr="0094771C">
              <w:t xml:space="preserve">Gürsoy, E., Benholz, C., Renk, N., Prediger, S. &amp; Büchter, A. (2013). Erlös = Erlösung? – Sprachliche und konzeptuelle Hürden in Prüfungsaufgaben zur Mathematik. Deutsch als Zweitsprache, </w:t>
            </w:r>
            <w:r w:rsidR="00D14D0A" w:rsidRPr="0094771C">
              <w:t>(1), 14–</w:t>
            </w:r>
            <w:r w:rsidRPr="0094771C">
              <w:t>24.</w:t>
            </w:r>
          </w:p>
          <w:p w14:paraId="13FBB7BD" w14:textId="48A5F308" w:rsidR="00CE6008" w:rsidRPr="0094771C" w:rsidRDefault="00CE6008" w:rsidP="008405BB">
            <w:pPr>
              <w:pStyle w:val="7Literatur"/>
              <w:framePr w:wrap="auto"/>
              <w:jc w:val="left"/>
            </w:pPr>
            <w:r w:rsidRPr="0094771C">
              <w:t>Hoffmann, M. &amp; Scherer, P. (2017). Diagnostische Kompetenzen im Mathematikunterricht. Ein Fortbildungskonzept zur kritischen Reflexion verschiedener Methoden und Instrumente. In J. Leuders, M. Lehn, T. Leuders, S. Ruwisch &amp; S. Prediger (Hrsg.), Mit Heterogenität im Mathematikunterricht umgehen lernen. Konzepte und Perspektiven für eine zentrale Anforderung an die Lehrerbildung (S. 7</w:t>
            </w:r>
            <w:r w:rsidR="00D14D0A" w:rsidRPr="0094771C">
              <w:t>9–</w:t>
            </w:r>
            <w:r w:rsidRPr="0094771C">
              <w:t xml:space="preserve">91). Wiesbaden: Springer. </w:t>
            </w:r>
          </w:p>
          <w:p w14:paraId="3AC48316" w14:textId="459EA240" w:rsidR="00CE6008" w:rsidRPr="0094771C" w:rsidRDefault="00CE6008" w:rsidP="008405BB">
            <w:pPr>
              <w:pStyle w:val="7Literatur"/>
              <w:framePr w:wrap="auto"/>
              <w:jc w:val="left"/>
            </w:pPr>
            <w:r w:rsidRPr="0094771C">
              <w:t xml:space="preserve">Meyer, M. &amp; Prediger, S. (2012). Sprachenvielfalt im Mathematikunterricht – Herausforderungen, Chancen und Förderansätze. Praxis der Mathematik in der Schule. Themenschwerpunkt „Ausgesprochen Mathe – Sprachen fördern”, </w:t>
            </w:r>
            <w:r w:rsidR="00D14D0A" w:rsidRPr="0094771C">
              <w:t>(45), 2–</w:t>
            </w:r>
            <w:r w:rsidRPr="0094771C">
              <w:t>9.</w:t>
            </w:r>
          </w:p>
          <w:p w14:paraId="1FE5AA07" w14:textId="77777777" w:rsidR="00CE6008" w:rsidRPr="00CE6008" w:rsidRDefault="00CE6008" w:rsidP="008405BB">
            <w:pPr>
              <w:pStyle w:val="7Literatur"/>
              <w:framePr w:wrap="auto"/>
            </w:pPr>
          </w:p>
          <w:p w14:paraId="48B88983" w14:textId="77777777" w:rsidR="00CE6008" w:rsidRPr="003E6E6D" w:rsidRDefault="00CE6008" w:rsidP="008405BB">
            <w:pPr>
              <w:pStyle w:val="3aMiniberschrift"/>
              <w:rPr>
                <w:sz w:val="20"/>
              </w:rPr>
            </w:pPr>
            <w:r w:rsidRPr="003E6E6D">
              <w:rPr>
                <w:sz w:val="20"/>
              </w:rPr>
              <w:t>Literatur zur Fortbildungsdidaktik</w:t>
            </w:r>
          </w:p>
          <w:p w14:paraId="6A803E8E" w14:textId="7057F0D9" w:rsidR="00CE6008" w:rsidRPr="0094771C" w:rsidRDefault="00CE6008" w:rsidP="008405BB">
            <w:pPr>
              <w:pStyle w:val="7Literatur"/>
              <w:framePr w:wrap="auto"/>
              <w:jc w:val="left"/>
            </w:pPr>
            <w:r w:rsidRPr="0094771C">
              <w:t>Barzel, B. et al. (2018). Das Deutsche Zentrum für Lehrerbildung Mathematik – DZLM. In R. Biehler, T. Lange, T. Leuders, B. Rösken-Winter, P. Scherer &amp; C. Selter (Hrsg.), Mathematikfortbildungen professionalisieren – Konzepte, Beispiele und Erfahrungen des Deutschen Zentrums für Lehrerbildung Mathematik</w:t>
            </w:r>
            <w:r w:rsidR="00957036" w:rsidRPr="0094771C">
              <w:t xml:space="preserve"> (S. 7–</w:t>
            </w:r>
            <w:r w:rsidRPr="0094771C">
              <w:t>39). Wiesbaden: Springer.</w:t>
            </w:r>
          </w:p>
          <w:p w14:paraId="2CAF2F14" w14:textId="6585DE62" w:rsidR="00751ED8" w:rsidRPr="0094771C" w:rsidRDefault="00751ED8" w:rsidP="008405BB">
            <w:pPr>
              <w:pStyle w:val="7Literatur"/>
              <w:framePr w:wrap="auto"/>
              <w:jc w:val="left"/>
            </w:pPr>
            <w:r w:rsidRPr="0094771C">
              <w:t xml:space="preserve">Deutsches Zentrum für Lehrerbildung Mathematik (2015). Mathe. Lehren. Lernen. Theoretischer Rahmen des Deutschen Zentrum für Lehrerbildung Mathematik. URL: </w:t>
            </w:r>
            <w:r w:rsidRPr="00BF4705">
              <w:rPr>
                <w:color w:val="327A86"/>
                <w:u w:val="single"/>
              </w:rPr>
              <w:t>https://www.dzlm.de/files/uploads/DZLM-0.0-Theoretischer-Rahmen-20150218_FINAL-20150324.pdf</w:t>
            </w:r>
            <w:r w:rsidRPr="00BF4705">
              <w:rPr>
                <w:color w:val="327A86"/>
              </w:rPr>
              <w:t xml:space="preserve"> </w:t>
            </w:r>
            <w:r w:rsidRPr="0094771C">
              <w:t>[28.02.2017].</w:t>
            </w:r>
          </w:p>
          <w:p w14:paraId="174A01FA" w14:textId="62E7D384" w:rsidR="00CE6008" w:rsidRPr="0094771C" w:rsidRDefault="00CE6008" w:rsidP="008405BB">
            <w:pPr>
              <w:pStyle w:val="7Literatur"/>
              <w:framePr w:wrap="auto"/>
              <w:jc w:val="left"/>
            </w:pPr>
            <w:r w:rsidRPr="0094771C">
              <w:t>Lipowsky, F. (2011). Theoretische Perspektiven und empirische Befunde zur Wirksamkeit von Lehrer- fort- und -weiterbildung. In E. Terhart, H. Bennewitz &amp; M. Rothland (Hrsg.), Handbuch der Forschung zum Lehrerberuf</w:t>
            </w:r>
            <w:r w:rsidR="00792B0F" w:rsidRPr="0094771C">
              <w:t xml:space="preserve"> (S. 398–</w:t>
            </w:r>
            <w:r w:rsidRPr="0094771C">
              <w:t>417). Münster: Waxmann.</w:t>
            </w:r>
          </w:p>
          <w:p w14:paraId="0D3A98AF" w14:textId="2C7B4E21" w:rsidR="00CE6008" w:rsidRPr="0094771C" w:rsidRDefault="00CE6008" w:rsidP="008405BB">
            <w:pPr>
              <w:pStyle w:val="7Literatur"/>
              <w:framePr w:wrap="auto"/>
              <w:jc w:val="left"/>
            </w:pPr>
            <w:r w:rsidRPr="0094771C">
              <w:t>Lipowsky, F. &amp; Rzejak, D. (2012). Lehrerinnen und Lehrer als Lerner – Wann gelingt der Rollentausch? Merkmale und Wirkungen effektiver Lehrerfortbildungen. Schulpädagogik heute, 5</w:t>
            </w:r>
            <w:r w:rsidR="00792B0F" w:rsidRPr="0094771C">
              <w:t>(3), 1–</w:t>
            </w:r>
            <w:r w:rsidRPr="0094771C">
              <w:t>17.</w:t>
            </w:r>
          </w:p>
          <w:p w14:paraId="1C002248" w14:textId="5A1FDEAD" w:rsidR="00CE6008" w:rsidRPr="00CE6008" w:rsidRDefault="00CE6008" w:rsidP="008405BB">
            <w:pPr>
              <w:pStyle w:val="7Literatur"/>
              <w:framePr w:wrap="auto"/>
              <w:jc w:val="left"/>
              <w:rPr>
                <w:b/>
              </w:rPr>
            </w:pPr>
            <w:r w:rsidRPr="0094771C">
              <w:t xml:space="preserve">Prediger, S., Leuders, T. &amp; Rösken-Winter, B. (2017). Drei-Tetraeder-Modell der gegenstandsbezogenen Professionalisierungsforschung. Fachspezifische Verknüpfung von Design und Forschung. In K. Zierer (Hrsg.), Jahrbuch für Allgemeine Didaktik 2017. Thementeil: Allgemeine Didaktik </w:t>
            </w:r>
            <w:r w:rsidR="00792B0F" w:rsidRPr="0094771C">
              <w:t>und Lehrer/innenbildung (S. 159–</w:t>
            </w:r>
            <w:r w:rsidRPr="0094771C">
              <w:t>177). Baltmannsweiler: Schneider Hohengehren.</w:t>
            </w:r>
          </w:p>
        </w:tc>
      </w:tr>
    </w:tbl>
    <w:p w14:paraId="09D6389D" w14:textId="77777777" w:rsidR="00240869" w:rsidRPr="00657E65" w:rsidRDefault="00240869" w:rsidP="00657E65">
      <w:pPr>
        <w:spacing w:after="0"/>
        <w:contextualSpacing w:val="0"/>
      </w:pPr>
    </w:p>
    <w:sectPr w:rsidR="00240869" w:rsidRPr="00657E65" w:rsidSect="0031158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418" w:left="1134" w:header="397" w:footer="6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2DD48" w14:textId="77777777" w:rsidR="00657017" w:rsidRDefault="00657017">
      <w:pPr>
        <w:spacing w:after="0"/>
      </w:pPr>
      <w:r>
        <w:separator/>
      </w:r>
    </w:p>
  </w:endnote>
  <w:endnote w:type="continuationSeparator" w:id="0">
    <w:p w14:paraId="1CC96D59" w14:textId="77777777" w:rsidR="00657017" w:rsidRDefault="006570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FDCCF" w14:textId="77777777" w:rsidR="00142A1C" w:rsidRDefault="00142A1C">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612D" w14:textId="77777777" w:rsidR="00142A1C" w:rsidRDefault="00142A1C">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9D950" w14:textId="77777777" w:rsidR="00142A1C" w:rsidRDefault="00142A1C">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07251" w14:textId="77777777" w:rsidR="00657017" w:rsidRDefault="00657017">
      <w:pPr>
        <w:spacing w:after="0"/>
      </w:pPr>
      <w:r>
        <w:separator/>
      </w:r>
    </w:p>
  </w:footnote>
  <w:footnote w:type="continuationSeparator" w:id="0">
    <w:p w14:paraId="44C06109" w14:textId="77777777" w:rsidR="00657017" w:rsidRDefault="0065701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6998" w14:textId="77777777" w:rsidR="00142A1C" w:rsidRDefault="00142A1C">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5D850" w14:textId="10D76785" w:rsidR="00C40FFC" w:rsidRDefault="00532487" w:rsidP="009F47EB">
    <w:pPr>
      <w:pStyle w:val="Kopfzeile"/>
    </w:pPr>
    <w:r>
      <w:rPr>
        <w:noProof/>
      </w:rPr>
      <mc:AlternateContent>
        <mc:Choice Requires="wps">
          <w:drawing>
            <wp:anchor distT="0" distB="0" distL="114300" distR="114300" simplePos="0" relativeHeight="251668480" behindDoc="0" locked="0" layoutInCell="1" allowOverlap="1" wp14:anchorId="32AB03A7" wp14:editId="65B7E932">
              <wp:simplePos x="0" y="0"/>
              <wp:positionH relativeFrom="column">
                <wp:posOffset>0</wp:posOffset>
              </wp:positionH>
              <wp:positionV relativeFrom="paragraph">
                <wp:posOffset>0</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w:pict>
            <v:rect w14:anchorId="471D9516" id="Rectangle 42" o:spid="_x0000_s1026" style="position:absolute;margin-left:0;margin-top:0;width:486.95pt;height: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" fillcolor="#327a86" stroked="f" strokecolor="#4a7ebb" strokeweight="1.5pt">
              <v:shadow color="black" opacity="22938f" offset="0,.74831mm"/>
              <v:textbox inset=",7.2pt,,7.2pt"/>
            </v:rect>
          </w:pict>
        </mc:Fallback>
      </mc:AlternateContent>
    </w:r>
    <w:r w:rsidR="00E20171">
      <w:rPr>
        <w:noProof/>
      </w:rPr>
      <w:drawing>
        <wp:anchor distT="0" distB="0" distL="114300" distR="114300" simplePos="0" relativeHeight="251664384" behindDoc="0" locked="0" layoutInCell="1" allowOverlap="1" wp14:anchorId="54B65DF2" wp14:editId="1A5892CF">
          <wp:simplePos x="0" y="0"/>
          <wp:positionH relativeFrom="column">
            <wp:posOffset>-148590</wp:posOffset>
          </wp:positionH>
          <wp:positionV relativeFrom="paragraph">
            <wp:posOffset>186690</wp:posOffset>
          </wp:positionV>
          <wp:extent cx="1360805" cy="561975"/>
          <wp:effectExtent l="0" t="0" r="0" b="9525"/>
          <wp:wrapSquare wrapText="bothSides"/>
          <wp:docPr id="3"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extLst>
                      <a:ext uri="{28A0092B-C50C-407E-A947-70E740481C1C}">
                        <a14:useLocalDpi xmlns:a14="http://schemas.microsoft.com/office/drawing/2010/main" val="0"/>
                      </a:ext>
                    </a:extLst>
                  </a:blip>
                  <a:stretch>
                    <a:fillRect/>
                  </a:stretch>
                </pic:blipFill>
                <pic:spPr>
                  <a:xfrm>
                    <a:off x="0" y="0"/>
                    <a:ext cx="1360805" cy="561975"/>
                  </a:xfrm>
                  <a:prstGeom prst="rect">
                    <a:avLst/>
                  </a:prstGeom>
                </pic:spPr>
              </pic:pic>
            </a:graphicData>
          </a:graphic>
          <wp14:sizeRelH relativeFrom="margin">
            <wp14:pctWidth>0</wp14:pctWidth>
          </wp14:sizeRelH>
          <wp14:sizeRelV relativeFrom="margin">
            <wp14:pctHeight>0</wp14:pctHeight>
          </wp14:sizeRelV>
        </wp:anchor>
      </w:drawing>
    </w:r>
  </w:p>
  <w:p w14:paraId="778836D9" w14:textId="46914AE3" w:rsidR="00C40FFC" w:rsidRDefault="00C40FFC" w:rsidP="009F47EB">
    <w:pPr>
      <w:pStyle w:val="Kopfzeile"/>
    </w:pPr>
  </w:p>
  <w:p w14:paraId="3FAD0F1B" w14:textId="77777777" w:rsidR="00C40FFC" w:rsidRDefault="00C40FFC" w:rsidP="009F47EB">
    <w:pPr>
      <w:pStyle w:val="Kopfzeile"/>
    </w:pPr>
    <w:r>
      <w:rPr>
        <w:b/>
        <w:noProof/>
        <w:color w:val="367B8A"/>
        <w:sz w:val="36"/>
        <w:szCs w:val="36"/>
      </w:rPr>
      <mc:AlternateContent>
        <mc:Choice Requires="wps">
          <w:drawing>
            <wp:anchor distT="0" distB="0" distL="114300" distR="114300" simplePos="0" relativeHeight="251666432" behindDoc="0" locked="0" layoutInCell="1" allowOverlap="1" wp14:anchorId="4F274BC9" wp14:editId="75ED2F08">
              <wp:simplePos x="0" y="0"/>
              <wp:positionH relativeFrom="margin">
                <wp:posOffset>1579880</wp:posOffset>
              </wp:positionH>
              <wp:positionV relativeFrom="paragraph">
                <wp:posOffset>22860</wp:posOffset>
              </wp:positionV>
              <wp:extent cx="4673602" cy="342900"/>
              <wp:effectExtent l="0" t="0" r="0" b="0"/>
              <wp:wrapNone/>
              <wp:docPr id="2" name="Textfeld 2"/>
              <wp:cNvGraphicFramePr/>
              <a:graphic xmlns:a="http://schemas.openxmlformats.org/drawingml/2006/main">
                <a:graphicData uri="http://schemas.microsoft.com/office/word/2010/wordprocessingShape">
                  <wps:wsp>
                    <wps:cNvSpPr txBox="1"/>
                    <wps:spPr>
                      <a:xfrm>
                        <a:off x="0" y="0"/>
                        <a:ext cx="4673602"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C7451C" w14:textId="401897BF" w:rsidR="00C40FFC" w:rsidRPr="009B71AF" w:rsidRDefault="00D850F4" w:rsidP="00DF3B98">
                          <w:pPr>
                            <w:pStyle w:val="1Ttel"/>
                            <w:jc w:val="right"/>
                            <w:rPr>
                              <w:sz w:val="24"/>
                            </w:rPr>
                          </w:pPr>
                          <w:r w:rsidRPr="009B71AF">
                            <w:rPr>
                              <w:sz w:val="24"/>
                            </w:rPr>
                            <w:t>Sachrechnen</w:t>
                          </w:r>
                          <w:r w:rsidR="00142A1C">
                            <w:rPr>
                              <w:sz w:val="24"/>
                            </w:rPr>
                            <w:t xml:space="preserve"> kompakt</w:t>
                          </w:r>
                          <w:bookmarkStart w:id="0" w:name="_GoBack"/>
                          <w:bookmarkEnd w:id="0"/>
                          <w:r w:rsidR="00C40FFC" w:rsidRPr="009B71AF">
                            <w:rPr>
                              <w:sz w:val="24"/>
                            </w:rPr>
                            <w:t xml:space="preserve"> | Modulhandbuch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274BC9" id="_x0000_t202" coordsize="21600,21600" o:spt="202" path="m,l,21600r21600,l21600,xe">
              <v:stroke joinstyle="miter"/>
              <v:path gradientshapeok="t" o:connecttype="rect"/>
            </v:shapetype>
            <v:shape id="Textfeld 2" o:spid="_x0000_s1026" type="#_x0000_t202" style="position:absolute;left:0;text-align:left;margin-left:124.4pt;margin-top:1.8pt;width:368pt;height:27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" filled="f" stroked="f">
              <v:textbox>
                <w:txbxContent>
                  <w:p w14:paraId="77C7451C" w14:textId="401897BF" w:rsidR="00C40FFC" w:rsidRPr="009B71AF" w:rsidRDefault="00D850F4" w:rsidP="00DF3B98">
                    <w:pPr>
                      <w:pStyle w:val="1Ttel"/>
                      <w:jc w:val="right"/>
                      <w:rPr>
                        <w:sz w:val="24"/>
                      </w:rPr>
                    </w:pPr>
                    <w:r w:rsidRPr="009B71AF">
                      <w:rPr>
                        <w:sz w:val="24"/>
                      </w:rPr>
                      <w:t>Sachrechnen</w:t>
                    </w:r>
                    <w:r w:rsidR="00142A1C">
                      <w:rPr>
                        <w:sz w:val="24"/>
                      </w:rPr>
                      <w:t xml:space="preserve"> kompakt</w:t>
                    </w:r>
                    <w:bookmarkStart w:id="1" w:name="_GoBack"/>
                    <w:bookmarkEnd w:id="1"/>
                    <w:r w:rsidR="00C40FFC" w:rsidRPr="009B71AF">
                      <w:rPr>
                        <w:sz w:val="24"/>
                      </w:rPr>
                      <w:t xml:space="preserve"> | Modulhandbuch</w:t>
                    </w:r>
                  </w:p>
                </w:txbxContent>
              </v:textbox>
              <w10:wrap anchorx="margin"/>
            </v:shape>
          </w:pict>
        </mc:Fallback>
      </mc:AlternateContent>
    </w:r>
  </w:p>
  <w:p w14:paraId="6D29446A" w14:textId="77777777" w:rsidR="00C40FFC" w:rsidRDefault="00C40FFC" w:rsidP="009F47EB">
    <w:pPr>
      <w:pStyle w:val="Kopfzeile"/>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DAA86" w14:textId="77777777" w:rsidR="00142A1C" w:rsidRDefault="00142A1C">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ED704A"/>
    <w:multiLevelType w:val="multilevel"/>
    <w:tmpl w:val="5866B6F6"/>
    <w:lvl w:ilvl="0">
      <w:start w:val="1"/>
      <w:numFmt w:val="bullet"/>
      <w:lvlText w:val=""/>
      <w:lvlJc w:val="left"/>
      <w:pPr>
        <w:ind w:left="720" w:hanging="360"/>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A605CE"/>
    <w:multiLevelType w:val="hybridMultilevel"/>
    <w:tmpl w:val="5866B6F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5" w15:restartNumberingAfterBreak="0">
    <w:nsid w:val="151B6072"/>
    <w:multiLevelType w:val="hybridMultilevel"/>
    <w:tmpl w:val="8F9826B4"/>
    <w:lvl w:ilvl="0" w:tplc="7BF4DC0C">
      <w:start w:val="1"/>
      <w:numFmt w:val="bullet"/>
      <w:lvlText w:val=""/>
      <w:lvlJc w:val="left"/>
      <w:pPr>
        <w:ind w:left="748" w:hanging="360"/>
      </w:pPr>
      <w:rPr>
        <w:rFonts w:ascii="Wingdings" w:hAnsi="Wingdings" w:hint="default"/>
        <w:color w:val="327A86" w:themeColor="accent1"/>
        <w:u w:val="none" w:color="327A86" w:themeColor="accent1"/>
      </w:rPr>
    </w:lvl>
    <w:lvl w:ilvl="1" w:tplc="04070003" w:tentative="1">
      <w:start w:val="1"/>
      <w:numFmt w:val="bullet"/>
      <w:lvlText w:val="o"/>
      <w:lvlJc w:val="left"/>
      <w:pPr>
        <w:ind w:left="1468" w:hanging="360"/>
      </w:pPr>
      <w:rPr>
        <w:rFonts w:ascii="Courier New" w:hAnsi="Courier New" w:cs="Courier New" w:hint="default"/>
      </w:rPr>
    </w:lvl>
    <w:lvl w:ilvl="2" w:tplc="04070005" w:tentative="1">
      <w:start w:val="1"/>
      <w:numFmt w:val="bullet"/>
      <w:lvlText w:val=""/>
      <w:lvlJc w:val="left"/>
      <w:pPr>
        <w:ind w:left="2188" w:hanging="360"/>
      </w:pPr>
      <w:rPr>
        <w:rFonts w:ascii="Wingdings" w:hAnsi="Wingdings" w:hint="default"/>
      </w:rPr>
    </w:lvl>
    <w:lvl w:ilvl="3" w:tplc="04070001" w:tentative="1">
      <w:start w:val="1"/>
      <w:numFmt w:val="bullet"/>
      <w:lvlText w:val=""/>
      <w:lvlJc w:val="left"/>
      <w:pPr>
        <w:ind w:left="2908" w:hanging="360"/>
      </w:pPr>
      <w:rPr>
        <w:rFonts w:ascii="Symbol" w:hAnsi="Symbol" w:hint="default"/>
      </w:rPr>
    </w:lvl>
    <w:lvl w:ilvl="4" w:tplc="04070003" w:tentative="1">
      <w:start w:val="1"/>
      <w:numFmt w:val="bullet"/>
      <w:lvlText w:val="o"/>
      <w:lvlJc w:val="left"/>
      <w:pPr>
        <w:ind w:left="3628" w:hanging="360"/>
      </w:pPr>
      <w:rPr>
        <w:rFonts w:ascii="Courier New" w:hAnsi="Courier New" w:cs="Courier New" w:hint="default"/>
      </w:rPr>
    </w:lvl>
    <w:lvl w:ilvl="5" w:tplc="04070005" w:tentative="1">
      <w:start w:val="1"/>
      <w:numFmt w:val="bullet"/>
      <w:lvlText w:val=""/>
      <w:lvlJc w:val="left"/>
      <w:pPr>
        <w:ind w:left="4348" w:hanging="360"/>
      </w:pPr>
      <w:rPr>
        <w:rFonts w:ascii="Wingdings" w:hAnsi="Wingdings" w:hint="default"/>
      </w:rPr>
    </w:lvl>
    <w:lvl w:ilvl="6" w:tplc="04070001" w:tentative="1">
      <w:start w:val="1"/>
      <w:numFmt w:val="bullet"/>
      <w:lvlText w:val=""/>
      <w:lvlJc w:val="left"/>
      <w:pPr>
        <w:ind w:left="5068" w:hanging="360"/>
      </w:pPr>
      <w:rPr>
        <w:rFonts w:ascii="Symbol" w:hAnsi="Symbol" w:hint="default"/>
      </w:rPr>
    </w:lvl>
    <w:lvl w:ilvl="7" w:tplc="04070003" w:tentative="1">
      <w:start w:val="1"/>
      <w:numFmt w:val="bullet"/>
      <w:lvlText w:val="o"/>
      <w:lvlJc w:val="left"/>
      <w:pPr>
        <w:ind w:left="5788" w:hanging="360"/>
      </w:pPr>
      <w:rPr>
        <w:rFonts w:ascii="Courier New" w:hAnsi="Courier New" w:cs="Courier New" w:hint="default"/>
      </w:rPr>
    </w:lvl>
    <w:lvl w:ilvl="8" w:tplc="04070005" w:tentative="1">
      <w:start w:val="1"/>
      <w:numFmt w:val="bullet"/>
      <w:lvlText w:val=""/>
      <w:lvlJc w:val="left"/>
      <w:pPr>
        <w:ind w:left="6508" w:hanging="360"/>
      </w:pPr>
      <w:rPr>
        <w:rFonts w:ascii="Wingdings" w:hAnsi="Wingdings" w:hint="default"/>
      </w:rPr>
    </w:lvl>
  </w:abstractNum>
  <w:abstractNum w:abstractNumId="6" w15:restartNumberingAfterBreak="0">
    <w:nsid w:val="17DD25B8"/>
    <w:multiLevelType w:val="hybridMultilevel"/>
    <w:tmpl w:val="7826D5E2"/>
    <w:lvl w:ilvl="0" w:tplc="B6961678">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7"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D9812D4"/>
    <w:multiLevelType w:val="hybridMultilevel"/>
    <w:tmpl w:val="E1E83F6E"/>
    <w:lvl w:ilvl="0" w:tplc="B1A6A58E">
      <w:start w:val="1"/>
      <w:numFmt w:val="bullet"/>
      <w:lvlText w:val="•"/>
      <w:lvlJc w:val="left"/>
      <w:pPr>
        <w:tabs>
          <w:tab w:val="num" w:pos="720"/>
        </w:tabs>
        <w:ind w:left="720" w:hanging="360"/>
      </w:pPr>
      <w:rPr>
        <w:rFonts w:ascii="Times New Roman" w:hAnsi="Times New Roman" w:hint="default"/>
      </w:rPr>
    </w:lvl>
    <w:lvl w:ilvl="1" w:tplc="CB58A3BC" w:tentative="1">
      <w:start w:val="1"/>
      <w:numFmt w:val="bullet"/>
      <w:lvlText w:val="•"/>
      <w:lvlJc w:val="left"/>
      <w:pPr>
        <w:tabs>
          <w:tab w:val="num" w:pos="1440"/>
        </w:tabs>
        <w:ind w:left="1440" w:hanging="360"/>
      </w:pPr>
      <w:rPr>
        <w:rFonts w:ascii="Times New Roman" w:hAnsi="Times New Roman" w:hint="default"/>
      </w:rPr>
    </w:lvl>
    <w:lvl w:ilvl="2" w:tplc="CFC8E45A" w:tentative="1">
      <w:start w:val="1"/>
      <w:numFmt w:val="bullet"/>
      <w:lvlText w:val="•"/>
      <w:lvlJc w:val="left"/>
      <w:pPr>
        <w:tabs>
          <w:tab w:val="num" w:pos="2160"/>
        </w:tabs>
        <w:ind w:left="2160" w:hanging="360"/>
      </w:pPr>
      <w:rPr>
        <w:rFonts w:ascii="Times New Roman" w:hAnsi="Times New Roman" w:hint="default"/>
      </w:rPr>
    </w:lvl>
    <w:lvl w:ilvl="3" w:tplc="D52A67A0" w:tentative="1">
      <w:start w:val="1"/>
      <w:numFmt w:val="bullet"/>
      <w:lvlText w:val="•"/>
      <w:lvlJc w:val="left"/>
      <w:pPr>
        <w:tabs>
          <w:tab w:val="num" w:pos="2880"/>
        </w:tabs>
        <w:ind w:left="2880" w:hanging="360"/>
      </w:pPr>
      <w:rPr>
        <w:rFonts w:ascii="Times New Roman" w:hAnsi="Times New Roman" w:hint="default"/>
      </w:rPr>
    </w:lvl>
    <w:lvl w:ilvl="4" w:tplc="E0BE709E" w:tentative="1">
      <w:start w:val="1"/>
      <w:numFmt w:val="bullet"/>
      <w:lvlText w:val="•"/>
      <w:lvlJc w:val="left"/>
      <w:pPr>
        <w:tabs>
          <w:tab w:val="num" w:pos="3600"/>
        </w:tabs>
        <w:ind w:left="3600" w:hanging="360"/>
      </w:pPr>
      <w:rPr>
        <w:rFonts w:ascii="Times New Roman" w:hAnsi="Times New Roman" w:hint="default"/>
      </w:rPr>
    </w:lvl>
    <w:lvl w:ilvl="5" w:tplc="FE00F0D6" w:tentative="1">
      <w:start w:val="1"/>
      <w:numFmt w:val="bullet"/>
      <w:lvlText w:val="•"/>
      <w:lvlJc w:val="left"/>
      <w:pPr>
        <w:tabs>
          <w:tab w:val="num" w:pos="4320"/>
        </w:tabs>
        <w:ind w:left="4320" w:hanging="360"/>
      </w:pPr>
      <w:rPr>
        <w:rFonts w:ascii="Times New Roman" w:hAnsi="Times New Roman" w:hint="default"/>
      </w:rPr>
    </w:lvl>
    <w:lvl w:ilvl="6" w:tplc="FBAE0DF6" w:tentative="1">
      <w:start w:val="1"/>
      <w:numFmt w:val="bullet"/>
      <w:lvlText w:val="•"/>
      <w:lvlJc w:val="left"/>
      <w:pPr>
        <w:tabs>
          <w:tab w:val="num" w:pos="5040"/>
        </w:tabs>
        <w:ind w:left="5040" w:hanging="360"/>
      </w:pPr>
      <w:rPr>
        <w:rFonts w:ascii="Times New Roman" w:hAnsi="Times New Roman" w:hint="default"/>
      </w:rPr>
    </w:lvl>
    <w:lvl w:ilvl="7" w:tplc="D24673D8" w:tentative="1">
      <w:start w:val="1"/>
      <w:numFmt w:val="bullet"/>
      <w:lvlText w:val="•"/>
      <w:lvlJc w:val="left"/>
      <w:pPr>
        <w:tabs>
          <w:tab w:val="num" w:pos="5760"/>
        </w:tabs>
        <w:ind w:left="5760" w:hanging="360"/>
      </w:pPr>
      <w:rPr>
        <w:rFonts w:ascii="Times New Roman" w:hAnsi="Times New Roman" w:hint="default"/>
      </w:rPr>
    </w:lvl>
    <w:lvl w:ilvl="8" w:tplc="84C0302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12A747A"/>
    <w:multiLevelType w:val="hybridMultilevel"/>
    <w:tmpl w:val="8BDE4A32"/>
    <w:lvl w:ilvl="0" w:tplc="B6961678">
      <w:start w:val="1"/>
      <w:numFmt w:val="bullet"/>
      <w:lvlText w:val=""/>
      <w:lvlJc w:val="left"/>
      <w:pPr>
        <w:ind w:left="720" w:hanging="360"/>
      </w:pPr>
      <w:rPr>
        <w:rFonts w:ascii="Wingdings" w:hAnsi="Wingdings" w:hint="default"/>
        <w:color w:val="327A86"/>
        <w:u w:color="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2F1076"/>
    <w:multiLevelType w:val="hybridMultilevel"/>
    <w:tmpl w:val="EEF25CD4"/>
    <w:lvl w:ilvl="0" w:tplc="933251A4">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9E3767"/>
    <w:multiLevelType w:val="hybridMultilevel"/>
    <w:tmpl w:val="5AC6DD22"/>
    <w:lvl w:ilvl="0" w:tplc="215642D8">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2" w15:restartNumberingAfterBreak="0">
    <w:nsid w:val="26B225A6"/>
    <w:multiLevelType w:val="hybridMultilevel"/>
    <w:tmpl w:val="B7548A5A"/>
    <w:lvl w:ilvl="0" w:tplc="3C9E0B9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ACD2BA8"/>
    <w:multiLevelType w:val="multilevel"/>
    <w:tmpl w:val="000C2D2C"/>
    <w:lvl w:ilvl="0">
      <w:start w:val="1"/>
      <w:numFmt w:val="bullet"/>
      <w:lvlText w:val=""/>
      <w:lvlJc w:val="left"/>
      <w:pPr>
        <w:tabs>
          <w:tab w:val="num" w:pos="284"/>
        </w:tabs>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B297CBA"/>
    <w:multiLevelType w:val="hybridMultilevel"/>
    <w:tmpl w:val="598A588C"/>
    <w:lvl w:ilvl="0" w:tplc="72E423F6">
      <w:start w:val="1"/>
      <w:numFmt w:val="bullet"/>
      <w:lvlText w:val="•"/>
      <w:lvlJc w:val="left"/>
      <w:pPr>
        <w:tabs>
          <w:tab w:val="num" w:pos="720"/>
        </w:tabs>
        <w:ind w:left="720" w:hanging="360"/>
      </w:pPr>
      <w:rPr>
        <w:rFonts w:ascii="Times New Roman" w:hAnsi="Times New Roman" w:hint="default"/>
      </w:rPr>
    </w:lvl>
    <w:lvl w:ilvl="1" w:tplc="D54EC80A" w:tentative="1">
      <w:start w:val="1"/>
      <w:numFmt w:val="bullet"/>
      <w:lvlText w:val="•"/>
      <w:lvlJc w:val="left"/>
      <w:pPr>
        <w:tabs>
          <w:tab w:val="num" w:pos="1440"/>
        </w:tabs>
        <w:ind w:left="1440" w:hanging="360"/>
      </w:pPr>
      <w:rPr>
        <w:rFonts w:ascii="Times New Roman" w:hAnsi="Times New Roman" w:hint="default"/>
      </w:rPr>
    </w:lvl>
    <w:lvl w:ilvl="2" w:tplc="B522856C" w:tentative="1">
      <w:start w:val="1"/>
      <w:numFmt w:val="bullet"/>
      <w:lvlText w:val="•"/>
      <w:lvlJc w:val="left"/>
      <w:pPr>
        <w:tabs>
          <w:tab w:val="num" w:pos="2160"/>
        </w:tabs>
        <w:ind w:left="2160" w:hanging="360"/>
      </w:pPr>
      <w:rPr>
        <w:rFonts w:ascii="Times New Roman" w:hAnsi="Times New Roman" w:hint="default"/>
      </w:rPr>
    </w:lvl>
    <w:lvl w:ilvl="3" w:tplc="1FC66ECE" w:tentative="1">
      <w:start w:val="1"/>
      <w:numFmt w:val="bullet"/>
      <w:lvlText w:val="•"/>
      <w:lvlJc w:val="left"/>
      <w:pPr>
        <w:tabs>
          <w:tab w:val="num" w:pos="2880"/>
        </w:tabs>
        <w:ind w:left="2880" w:hanging="360"/>
      </w:pPr>
      <w:rPr>
        <w:rFonts w:ascii="Times New Roman" w:hAnsi="Times New Roman" w:hint="default"/>
      </w:rPr>
    </w:lvl>
    <w:lvl w:ilvl="4" w:tplc="47F61196" w:tentative="1">
      <w:start w:val="1"/>
      <w:numFmt w:val="bullet"/>
      <w:lvlText w:val="•"/>
      <w:lvlJc w:val="left"/>
      <w:pPr>
        <w:tabs>
          <w:tab w:val="num" w:pos="3600"/>
        </w:tabs>
        <w:ind w:left="3600" w:hanging="360"/>
      </w:pPr>
      <w:rPr>
        <w:rFonts w:ascii="Times New Roman" w:hAnsi="Times New Roman" w:hint="default"/>
      </w:rPr>
    </w:lvl>
    <w:lvl w:ilvl="5" w:tplc="F78EB2C6" w:tentative="1">
      <w:start w:val="1"/>
      <w:numFmt w:val="bullet"/>
      <w:lvlText w:val="•"/>
      <w:lvlJc w:val="left"/>
      <w:pPr>
        <w:tabs>
          <w:tab w:val="num" w:pos="4320"/>
        </w:tabs>
        <w:ind w:left="4320" w:hanging="360"/>
      </w:pPr>
      <w:rPr>
        <w:rFonts w:ascii="Times New Roman" w:hAnsi="Times New Roman" w:hint="default"/>
      </w:rPr>
    </w:lvl>
    <w:lvl w:ilvl="6" w:tplc="C6403BD2" w:tentative="1">
      <w:start w:val="1"/>
      <w:numFmt w:val="bullet"/>
      <w:lvlText w:val="•"/>
      <w:lvlJc w:val="left"/>
      <w:pPr>
        <w:tabs>
          <w:tab w:val="num" w:pos="5040"/>
        </w:tabs>
        <w:ind w:left="5040" w:hanging="360"/>
      </w:pPr>
      <w:rPr>
        <w:rFonts w:ascii="Times New Roman" w:hAnsi="Times New Roman" w:hint="default"/>
      </w:rPr>
    </w:lvl>
    <w:lvl w:ilvl="7" w:tplc="4BDCB404" w:tentative="1">
      <w:start w:val="1"/>
      <w:numFmt w:val="bullet"/>
      <w:lvlText w:val="•"/>
      <w:lvlJc w:val="left"/>
      <w:pPr>
        <w:tabs>
          <w:tab w:val="num" w:pos="5760"/>
        </w:tabs>
        <w:ind w:left="5760" w:hanging="360"/>
      </w:pPr>
      <w:rPr>
        <w:rFonts w:ascii="Times New Roman" w:hAnsi="Times New Roman" w:hint="default"/>
      </w:rPr>
    </w:lvl>
    <w:lvl w:ilvl="8" w:tplc="AA201FD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DD680E"/>
    <w:multiLevelType w:val="hybridMultilevel"/>
    <w:tmpl w:val="72640B50"/>
    <w:lvl w:ilvl="0" w:tplc="FE5835E4">
      <w:start w:val="1"/>
      <w:numFmt w:val="bullet"/>
      <w:lvlText w:val=""/>
      <w:lvlJc w:val="left"/>
      <w:pPr>
        <w:ind w:left="720" w:hanging="360"/>
      </w:pPr>
      <w:rPr>
        <w:rFonts w:ascii="Wingdings" w:hAnsi="Wingdings" w:hint="default"/>
        <w:u w:color="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5A719C"/>
    <w:multiLevelType w:val="hybridMultilevel"/>
    <w:tmpl w:val="60ECC95A"/>
    <w:lvl w:ilvl="0" w:tplc="0592F13A">
      <w:start w:val="1"/>
      <w:numFmt w:val="bullet"/>
      <w:lvlText w:val="•"/>
      <w:lvlJc w:val="left"/>
      <w:pPr>
        <w:tabs>
          <w:tab w:val="num" w:pos="720"/>
        </w:tabs>
        <w:ind w:left="720" w:hanging="360"/>
      </w:pPr>
      <w:rPr>
        <w:rFonts w:ascii="Times New Roman" w:hAnsi="Times New Roman" w:hint="default"/>
      </w:rPr>
    </w:lvl>
    <w:lvl w:ilvl="1" w:tplc="FA6C84D6" w:tentative="1">
      <w:start w:val="1"/>
      <w:numFmt w:val="bullet"/>
      <w:lvlText w:val="•"/>
      <w:lvlJc w:val="left"/>
      <w:pPr>
        <w:tabs>
          <w:tab w:val="num" w:pos="1440"/>
        </w:tabs>
        <w:ind w:left="1440" w:hanging="360"/>
      </w:pPr>
      <w:rPr>
        <w:rFonts w:ascii="Times New Roman" w:hAnsi="Times New Roman" w:hint="default"/>
      </w:rPr>
    </w:lvl>
    <w:lvl w:ilvl="2" w:tplc="7B981078" w:tentative="1">
      <w:start w:val="1"/>
      <w:numFmt w:val="bullet"/>
      <w:lvlText w:val="•"/>
      <w:lvlJc w:val="left"/>
      <w:pPr>
        <w:tabs>
          <w:tab w:val="num" w:pos="2160"/>
        </w:tabs>
        <w:ind w:left="2160" w:hanging="360"/>
      </w:pPr>
      <w:rPr>
        <w:rFonts w:ascii="Times New Roman" w:hAnsi="Times New Roman" w:hint="default"/>
      </w:rPr>
    </w:lvl>
    <w:lvl w:ilvl="3" w:tplc="3A52D93C" w:tentative="1">
      <w:start w:val="1"/>
      <w:numFmt w:val="bullet"/>
      <w:lvlText w:val="•"/>
      <w:lvlJc w:val="left"/>
      <w:pPr>
        <w:tabs>
          <w:tab w:val="num" w:pos="2880"/>
        </w:tabs>
        <w:ind w:left="2880" w:hanging="360"/>
      </w:pPr>
      <w:rPr>
        <w:rFonts w:ascii="Times New Roman" w:hAnsi="Times New Roman" w:hint="default"/>
      </w:rPr>
    </w:lvl>
    <w:lvl w:ilvl="4" w:tplc="6852723C" w:tentative="1">
      <w:start w:val="1"/>
      <w:numFmt w:val="bullet"/>
      <w:lvlText w:val="•"/>
      <w:lvlJc w:val="left"/>
      <w:pPr>
        <w:tabs>
          <w:tab w:val="num" w:pos="3600"/>
        </w:tabs>
        <w:ind w:left="3600" w:hanging="360"/>
      </w:pPr>
      <w:rPr>
        <w:rFonts w:ascii="Times New Roman" w:hAnsi="Times New Roman" w:hint="default"/>
      </w:rPr>
    </w:lvl>
    <w:lvl w:ilvl="5" w:tplc="05C01084" w:tentative="1">
      <w:start w:val="1"/>
      <w:numFmt w:val="bullet"/>
      <w:lvlText w:val="•"/>
      <w:lvlJc w:val="left"/>
      <w:pPr>
        <w:tabs>
          <w:tab w:val="num" w:pos="4320"/>
        </w:tabs>
        <w:ind w:left="4320" w:hanging="360"/>
      </w:pPr>
      <w:rPr>
        <w:rFonts w:ascii="Times New Roman" w:hAnsi="Times New Roman" w:hint="default"/>
      </w:rPr>
    </w:lvl>
    <w:lvl w:ilvl="6" w:tplc="F9024876" w:tentative="1">
      <w:start w:val="1"/>
      <w:numFmt w:val="bullet"/>
      <w:lvlText w:val="•"/>
      <w:lvlJc w:val="left"/>
      <w:pPr>
        <w:tabs>
          <w:tab w:val="num" w:pos="5040"/>
        </w:tabs>
        <w:ind w:left="5040" w:hanging="360"/>
      </w:pPr>
      <w:rPr>
        <w:rFonts w:ascii="Times New Roman" w:hAnsi="Times New Roman" w:hint="default"/>
      </w:rPr>
    </w:lvl>
    <w:lvl w:ilvl="7" w:tplc="6C36C262" w:tentative="1">
      <w:start w:val="1"/>
      <w:numFmt w:val="bullet"/>
      <w:lvlText w:val="•"/>
      <w:lvlJc w:val="left"/>
      <w:pPr>
        <w:tabs>
          <w:tab w:val="num" w:pos="5760"/>
        </w:tabs>
        <w:ind w:left="5760" w:hanging="360"/>
      </w:pPr>
      <w:rPr>
        <w:rFonts w:ascii="Times New Roman" w:hAnsi="Times New Roman" w:hint="default"/>
      </w:rPr>
    </w:lvl>
    <w:lvl w:ilvl="8" w:tplc="E45A024A"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E0B7128"/>
    <w:multiLevelType w:val="hybridMultilevel"/>
    <w:tmpl w:val="E77653F8"/>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1093A13"/>
    <w:multiLevelType w:val="hybridMultilevel"/>
    <w:tmpl w:val="505A0F34"/>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240C14"/>
    <w:multiLevelType w:val="hybridMultilevel"/>
    <w:tmpl w:val="36A2667A"/>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5" w15:restartNumberingAfterBreak="0">
    <w:nsid w:val="53855F67"/>
    <w:multiLevelType w:val="hybridMultilevel"/>
    <w:tmpl w:val="62F8496E"/>
    <w:lvl w:ilvl="0" w:tplc="7BF4DC0C">
      <w:start w:val="1"/>
      <w:numFmt w:val="bullet"/>
      <w:lvlText w:val=""/>
      <w:lvlJc w:val="left"/>
      <w:pPr>
        <w:ind w:left="720" w:hanging="360"/>
      </w:pPr>
      <w:rPr>
        <w:rFonts w:ascii="Wingdings" w:hAnsi="Wingdings" w:hint="default"/>
        <w:color w:val="327A86" w:themeColor="accent1"/>
        <w:u w:val="none" w:color="327A86"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81D1F50"/>
    <w:multiLevelType w:val="hybridMultilevel"/>
    <w:tmpl w:val="E628419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B837A94"/>
    <w:multiLevelType w:val="hybridMultilevel"/>
    <w:tmpl w:val="92261FB2"/>
    <w:lvl w:ilvl="0" w:tplc="7BF4DC0C">
      <w:start w:val="1"/>
      <w:numFmt w:val="bullet"/>
      <w:lvlText w:val=""/>
      <w:lvlJc w:val="left"/>
      <w:pPr>
        <w:ind w:left="720" w:hanging="360"/>
      </w:pPr>
      <w:rPr>
        <w:rFonts w:ascii="Wingdings" w:hAnsi="Wingdings" w:hint="default"/>
        <w:color w:val="327A86" w:themeColor="accent1"/>
        <w:u w:val="none" w:color="327A86"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11B1C88"/>
    <w:multiLevelType w:val="hybridMultilevel"/>
    <w:tmpl w:val="B1BAA4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2897096"/>
    <w:multiLevelType w:val="hybridMultilevel"/>
    <w:tmpl w:val="A63CC9B6"/>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714402F"/>
    <w:multiLevelType w:val="hybridMultilevel"/>
    <w:tmpl w:val="F85A50C4"/>
    <w:lvl w:ilvl="0" w:tplc="BF64DA0C">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A713241"/>
    <w:multiLevelType w:val="hybridMultilevel"/>
    <w:tmpl w:val="F46A45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6" w15:restartNumberingAfterBreak="0">
    <w:nsid w:val="717730AF"/>
    <w:multiLevelType w:val="hybridMultilevel"/>
    <w:tmpl w:val="B0BCBA26"/>
    <w:lvl w:ilvl="0" w:tplc="7BF4DC0C">
      <w:start w:val="1"/>
      <w:numFmt w:val="bullet"/>
      <w:lvlText w:val=""/>
      <w:lvlJc w:val="left"/>
      <w:pPr>
        <w:ind w:left="720" w:hanging="360"/>
      </w:pPr>
      <w:rPr>
        <w:rFonts w:ascii="Wingdings" w:hAnsi="Wingdings" w:hint="default"/>
        <w:color w:val="327A86" w:themeColor="accent1"/>
        <w:u w:val="none" w:color="327A86"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2D3683"/>
    <w:multiLevelType w:val="hybridMultilevel"/>
    <w:tmpl w:val="DDF0F678"/>
    <w:lvl w:ilvl="0" w:tplc="7BF4DC0C">
      <w:start w:val="1"/>
      <w:numFmt w:val="bullet"/>
      <w:lvlText w:val=""/>
      <w:lvlJc w:val="left"/>
      <w:pPr>
        <w:ind w:left="720" w:hanging="360"/>
      </w:pPr>
      <w:rPr>
        <w:rFonts w:ascii="Wingdings" w:hAnsi="Wingdings" w:hint="default"/>
        <w:color w:val="327A86" w:themeColor="accent1"/>
        <w:u w:val="none" w:color="327A86"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5CD7CB0"/>
    <w:multiLevelType w:val="multilevel"/>
    <w:tmpl w:val="E628419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29"/>
  </w:num>
  <w:num w:numId="3">
    <w:abstractNumId w:val="29"/>
  </w:num>
  <w:num w:numId="4">
    <w:abstractNumId w:val="15"/>
  </w:num>
  <w:num w:numId="5">
    <w:abstractNumId w:val="19"/>
  </w:num>
  <w:num w:numId="6">
    <w:abstractNumId w:val="0"/>
  </w:num>
  <w:num w:numId="7">
    <w:abstractNumId w:val="7"/>
  </w:num>
  <w:num w:numId="8">
    <w:abstractNumId w:val="18"/>
  </w:num>
  <w:num w:numId="9">
    <w:abstractNumId w:val="35"/>
  </w:num>
  <w:num w:numId="10">
    <w:abstractNumId w:val="2"/>
  </w:num>
  <w:num w:numId="11">
    <w:abstractNumId w:val="24"/>
  </w:num>
  <w:num w:numId="12">
    <w:abstractNumId w:val="4"/>
  </w:num>
  <w:num w:numId="13">
    <w:abstractNumId w:val="22"/>
  </w:num>
  <w:num w:numId="14">
    <w:abstractNumId w:val="32"/>
  </w:num>
  <w:num w:numId="15">
    <w:abstractNumId w:val="30"/>
  </w:num>
  <w:num w:numId="16">
    <w:abstractNumId w:val="31"/>
  </w:num>
  <w:num w:numId="17">
    <w:abstractNumId w:val="11"/>
  </w:num>
  <w:num w:numId="18">
    <w:abstractNumId w:val="21"/>
  </w:num>
  <w:num w:numId="19">
    <w:abstractNumId w:val="12"/>
  </w:num>
  <w:num w:numId="20">
    <w:abstractNumId w:val="3"/>
  </w:num>
  <w:num w:numId="21">
    <w:abstractNumId w:val="1"/>
  </w:num>
  <w:num w:numId="22">
    <w:abstractNumId w:val="10"/>
  </w:num>
  <w:num w:numId="23">
    <w:abstractNumId w:val="13"/>
  </w:num>
  <w:num w:numId="24">
    <w:abstractNumId w:val="10"/>
    <w:lvlOverride w:ilvl="0">
      <w:startOverride w:val="1"/>
    </w:lvlOverride>
  </w:num>
  <w:num w:numId="25">
    <w:abstractNumId w:val="26"/>
  </w:num>
  <w:num w:numId="26">
    <w:abstractNumId w:val="20"/>
  </w:num>
  <w:num w:numId="27">
    <w:abstractNumId w:val="33"/>
  </w:num>
  <w:num w:numId="28">
    <w:abstractNumId w:val="23"/>
  </w:num>
  <w:num w:numId="29">
    <w:abstractNumId w:val="6"/>
  </w:num>
  <w:num w:numId="30">
    <w:abstractNumId w:val="14"/>
  </w:num>
  <w:num w:numId="31">
    <w:abstractNumId w:val="8"/>
  </w:num>
  <w:num w:numId="32">
    <w:abstractNumId w:val="17"/>
  </w:num>
  <w:num w:numId="33">
    <w:abstractNumId w:val="34"/>
  </w:num>
  <w:num w:numId="34">
    <w:abstractNumId w:val="27"/>
  </w:num>
  <w:num w:numId="35">
    <w:abstractNumId w:val="38"/>
  </w:num>
  <w:num w:numId="36">
    <w:abstractNumId w:val="16"/>
  </w:num>
  <w:num w:numId="37">
    <w:abstractNumId w:val="9"/>
  </w:num>
  <w:num w:numId="38">
    <w:abstractNumId w:val="5"/>
  </w:num>
  <w:num w:numId="39">
    <w:abstractNumId w:val="28"/>
  </w:num>
  <w:num w:numId="40">
    <w:abstractNumId w:val="37"/>
  </w:num>
  <w:num w:numId="41">
    <w:abstractNumId w:val="3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001A"/>
    <w:rsid w:val="000039A9"/>
    <w:rsid w:val="000206FC"/>
    <w:rsid w:val="00022E88"/>
    <w:rsid w:val="00041760"/>
    <w:rsid w:val="00041C41"/>
    <w:rsid w:val="00047DEE"/>
    <w:rsid w:val="000532EF"/>
    <w:rsid w:val="00062BBC"/>
    <w:rsid w:val="00073027"/>
    <w:rsid w:val="00073D81"/>
    <w:rsid w:val="00080D8E"/>
    <w:rsid w:val="00087A30"/>
    <w:rsid w:val="0009444A"/>
    <w:rsid w:val="00095408"/>
    <w:rsid w:val="000A40DD"/>
    <w:rsid w:val="000B0FFF"/>
    <w:rsid w:val="000C141B"/>
    <w:rsid w:val="000C25A3"/>
    <w:rsid w:val="000C7CBC"/>
    <w:rsid w:val="000D25D2"/>
    <w:rsid w:val="000F1589"/>
    <w:rsid w:val="000F3E0B"/>
    <w:rsid w:val="00102FEA"/>
    <w:rsid w:val="00120156"/>
    <w:rsid w:val="00123A8A"/>
    <w:rsid w:val="00125D4B"/>
    <w:rsid w:val="001270BD"/>
    <w:rsid w:val="0012712A"/>
    <w:rsid w:val="0012799B"/>
    <w:rsid w:val="00142A1C"/>
    <w:rsid w:val="001474A4"/>
    <w:rsid w:val="0015042E"/>
    <w:rsid w:val="0015442E"/>
    <w:rsid w:val="001561A0"/>
    <w:rsid w:val="00163F89"/>
    <w:rsid w:val="001731DC"/>
    <w:rsid w:val="00174E9B"/>
    <w:rsid w:val="00175F94"/>
    <w:rsid w:val="00182888"/>
    <w:rsid w:val="00185D43"/>
    <w:rsid w:val="00190A44"/>
    <w:rsid w:val="00191545"/>
    <w:rsid w:val="00192C11"/>
    <w:rsid w:val="00197313"/>
    <w:rsid w:val="001A1C13"/>
    <w:rsid w:val="001A314C"/>
    <w:rsid w:val="001A65C1"/>
    <w:rsid w:val="001A71A7"/>
    <w:rsid w:val="001E1002"/>
    <w:rsid w:val="001E15C5"/>
    <w:rsid w:val="001F145C"/>
    <w:rsid w:val="001F4E15"/>
    <w:rsid w:val="001F726C"/>
    <w:rsid w:val="00201885"/>
    <w:rsid w:val="00202782"/>
    <w:rsid w:val="00203A04"/>
    <w:rsid w:val="00234B97"/>
    <w:rsid w:val="0023598D"/>
    <w:rsid w:val="00240869"/>
    <w:rsid w:val="0024539D"/>
    <w:rsid w:val="002469A0"/>
    <w:rsid w:val="00246A5A"/>
    <w:rsid w:val="00254A3C"/>
    <w:rsid w:val="00267B44"/>
    <w:rsid w:val="00280478"/>
    <w:rsid w:val="00280691"/>
    <w:rsid w:val="00296845"/>
    <w:rsid w:val="002A06B8"/>
    <w:rsid w:val="002A070E"/>
    <w:rsid w:val="002A0A63"/>
    <w:rsid w:val="002A12A6"/>
    <w:rsid w:val="002A24B3"/>
    <w:rsid w:val="002A4021"/>
    <w:rsid w:val="002B0116"/>
    <w:rsid w:val="002B22F5"/>
    <w:rsid w:val="002B4EF7"/>
    <w:rsid w:val="002C0F67"/>
    <w:rsid w:val="002C276D"/>
    <w:rsid w:val="002C41FA"/>
    <w:rsid w:val="002D6833"/>
    <w:rsid w:val="002F29D9"/>
    <w:rsid w:val="002F7E87"/>
    <w:rsid w:val="003057A9"/>
    <w:rsid w:val="0031158B"/>
    <w:rsid w:val="003157C4"/>
    <w:rsid w:val="0032180D"/>
    <w:rsid w:val="0032585D"/>
    <w:rsid w:val="00343E68"/>
    <w:rsid w:val="00354E3C"/>
    <w:rsid w:val="00363A39"/>
    <w:rsid w:val="00364016"/>
    <w:rsid w:val="003644EB"/>
    <w:rsid w:val="003671D1"/>
    <w:rsid w:val="00372168"/>
    <w:rsid w:val="00373036"/>
    <w:rsid w:val="003771AC"/>
    <w:rsid w:val="003778FC"/>
    <w:rsid w:val="00391481"/>
    <w:rsid w:val="003B3F6F"/>
    <w:rsid w:val="003E0B41"/>
    <w:rsid w:val="003E5350"/>
    <w:rsid w:val="003E6E6D"/>
    <w:rsid w:val="003E7657"/>
    <w:rsid w:val="004011AF"/>
    <w:rsid w:val="004033E2"/>
    <w:rsid w:val="00404FD1"/>
    <w:rsid w:val="00405FF3"/>
    <w:rsid w:val="004102F6"/>
    <w:rsid w:val="0041309B"/>
    <w:rsid w:val="004223EF"/>
    <w:rsid w:val="004226FB"/>
    <w:rsid w:val="004255E5"/>
    <w:rsid w:val="00425D28"/>
    <w:rsid w:val="004401B0"/>
    <w:rsid w:val="0045109D"/>
    <w:rsid w:val="00453C8A"/>
    <w:rsid w:val="0045480C"/>
    <w:rsid w:val="00460563"/>
    <w:rsid w:val="00464FD6"/>
    <w:rsid w:val="004728EF"/>
    <w:rsid w:val="00473CD7"/>
    <w:rsid w:val="0049678F"/>
    <w:rsid w:val="004A6D39"/>
    <w:rsid w:val="004B075C"/>
    <w:rsid w:val="004B09FD"/>
    <w:rsid w:val="004B3141"/>
    <w:rsid w:val="004D3CF4"/>
    <w:rsid w:val="004E28FF"/>
    <w:rsid w:val="004E5B6F"/>
    <w:rsid w:val="00523ED6"/>
    <w:rsid w:val="00524886"/>
    <w:rsid w:val="00527C8F"/>
    <w:rsid w:val="00530EBF"/>
    <w:rsid w:val="00532487"/>
    <w:rsid w:val="0053708B"/>
    <w:rsid w:val="005379DB"/>
    <w:rsid w:val="00541150"/>
    <w:rsid w:val="00553868"/>
    <w:rsid w:val="00561758"/>
    <w:rsid w:val="00562890"/>
    <w:rsid w:val="005658F2"/>
    <w:rsid w:val="00573984"/>
    <w:rsid w:val="0057538F"/>
    <w:rsid w:val="00581BB3"/>
    <w:rsid w:val="00592328"/>
    <w:rsid w:val="00594FF2"/>
    <w:rsid w:val="005953F1"/>
    <w:rsid w:val="005A2868"/>
    <w:rsid w:val="005A4FD7"/>
    <w:rsid w:val="005B3A07"/>
    <w:rsid w:val="005C3648"/>
    <w:rsid w:val="005C5E01"/>
    <w:rsid w:val="005C6055"/>
    <w:rsid w:val="005D2E32"/>
    <w:rsid w:val="005D496E"/>
    <w:rsid w:val="005E1473"/>
    <w:rsid w:val="005E1694"/>
    <w:rsid w:val="005E4662"/>
    <w:rsid w:val="005F0AAA"/>
    <w:rsid w:val="005F25DB"/>
    <w:rsid w:val="006125E5"/>
    <w:rsid w:val="00613AEC"/>
    <w:rsid w:val="00615FE9"/>
    <w:rsid w:val="006356EC"/>
    <w:rsid w:val="006478B1"/>
    <w:rsid w:val="00652EDA"/>
    <w:rsid w:val="00657017"/>
    <w:rsid w:val="006574C6"/>
    <w:rsid w:val="006578E1"/>
    <w:rsid w:val="00657E65"/>
    <w:rsid w:val="00680503"/>
    <w:rsid w:val="00692945"/>
    <w:rsid w:val="006B40EF"/>
    <w:rsid w:val="006C048D"/>
    <w:rsid w:val="006C31AF"/>
    <w:rsid w:val="006C5065"/>
    <w:rsid w:val="006C7075"/>
    <w:rsid w:val="006D3333"/>
    <w:rsid w:val="006E1AE2"/>
    <w:rsid w:val="006F11FC"/>
    <w:rsid w:val="0070552D"/>
    <w:rsid w:val="007063C1"/>
    <w:rsid w:val="0071229E"/>
    <w:rsid w:val="00721C8E"/>
    <w:rsid w:val="00723821"/>
    <w:rsid w:val="007319C4"/>
    <w:rsid w:val="00736809"/>
    <w:rsid w:val="007410FA"/>
    <w:rsid w:val="00742F9D"/>
    <w:rsid w:val="00746CE9"/>
    <w:rsid w:val="00751ED8"/>
    <w:rsid w:val="0075345D"/>
    <w:rsid w:val="00785F50"/>
    <w:rsid w:val="00792B0F"/>
    <w:rsid w:val="007A1665"/>
    <w:rsid w:val="007D2E7F"/>
    <w:rsid w:val="007D50A0"/>
    <w:rsid w:val="007F5B21"/>
    <w:rsid w:val="00800CFE"/>
    <w:rsid w:val="00810AA4"/>
    <w:rsid w:val="008117EC"/>
    <w:rsid w:val="008227BA"/>
    <w:rsid w:val="00823548"/>
    <w:rsid w:val="008405BB"/>
    <w:rsid w:val="008443A2"/>
    <w:rsid w:val="00844994"/>
    <w:rsid w:val="00850010"/>
    <w:rsid w:val="008531AC"/>
    <w:rsid w:val="008536E2"/>
    <w:rsid w:val="0085375A"/>
    <w:rsid w:val="008611D0"/>
    <w:rsid w:val="0086204A"/>
    <w:rsid w:val="008701C5"/>
    <w:rsid w:val="00870D28"/>
    <w:rsid w:val="00870FE6"/>
    <w:rsid w:val="00876560"/>
    <w:rsid w:val="00885AB1"/>
    <w:rsid w:val="00896667"/>
    <w:rsid w:val="008A70E1"/>
    <w:rsid w:val="008B0684"/>
    <w:rsid w:val="008B6CCB"/>
    <w:rsid w:val="008C587E"/>
    <w:rsid w:val="008C77B5"/>
    <w:rsid w:val="008E0D67"/>
    <w:rsid w:val="008F0EF1"/>
    <w:rsid w:val="008F4701"/>
    <w:rsid w:val="008F4B6E"/>
    <w:rsid w:val="008F58CA"/>
    <w:rsid w:val="008F73E8"/>
    <w:rsid w:val="00904913"/>
    <w:rsid w:val="00910C21"/>
    <w:rsid w:val="00916031"/>
    <w:rsid w:val="009163F8"/>
    <w:rsid w:val="00916F9C"/>
    <w:rsid w:val="009303AF"/>
    <w:rsid w:val="0093117C"/>
    <w:rsid w:val="0093666D"/>
    <w:rsid w:val="0094771C"/>
    <w:rsid w:val="00947744"/>
    <w:rsid w:val="00957036"/>
    <w:rsid w:val="00967DF3"/>
    <w:rsid w:val="00974A74"/>
    <w:rsid w:val="00977042"/>
    <w:rsid w:val="009821FB"/>
    <w:rsid w:val="00984E57"/>
    <w:rsid w:val="009852CC"/>
    <w:rsid w:val="00990E36"/>
    <w:rsid w:val="009A3DA2"/>
    <w:rsid w:val="009A694A"/>
    <w:rsid w:val="009A70D7"/>
    <w:rsid w:val="009B077A"/>
    <w:rsid w:val="009B0994"/>
    <w:rsid w:val="009B3463"/>
    <w:rsid w:val="009B4241"/>
    <w:rsid w:val="009B656C"/>
    <w:rsid w:val="009B71AF"/>
    <w:rsid w:val="009C5BC8"/>
    <w:rsid w:val="009C5C3F"/>
    <w:rsid w:val="009C6CD3"/>
    <w:rsid w:val="009D0ECD"/>
    <w:rsid w:val="009D31DC"/>
    <w:rsid w:val="009D3C7B"/>
    <w:rsid w:val="009F47EB"/>
    <w:rsid w:val="00A3140B"/>
    <w:rsid w:val="00A37E87"/>
    <w:rsid w:val="00A40F64"/>
    <w:rsid w:val="00A51E69"/>
    <w:rsid w:val="00A62C16"/>
    <w:rsid w:val="00A74AB4"/>
    <w:rsid w:val="00A8564E"/>
    <w:rsid w:val="00A90B4B"/>
    <w:rsid w:val="00A961B8"/>
    <w:rsid w:val="00AA3B20"/>
    <w:rsid w:val="00AA7922"/>
    <w:rsid w:val="00AB18A5"/>
    <w:rsid w:val="00AC7F94"/>
    <w:rsid w:val="00AD0262"/>
    <w:rsid w:val="00AD22FD"/>
    <w:rsid w:val="00AD39D8"/>
    <w:rsid w:val="00AE5785"/>
    <w:rsid w:val="00AF0AC2"/>
    <w:rsid w:val="00B0118B"/>
    <w:rsid w:val="00B07597"/>
    <w:rsid w:val="00B10167"/>
    <w:rsid w:val="00B1597C"/>
    <w:rsid w:val="00B173A0"/>
    <w:rsid w:val="00B50BC3"/>
    <w:rsid w:val="00B5748C"/>
    <w:rsid w:val="00B61487"/>
    <w:rsid w:val="00B74069"/>
    <w:rsid w:val="00BA56B1"/>
    <w:rsid w:val="00BB179C"/>
    <w:rsid w:val="00BC31E0"/>
    <w:rsid w:val="00BD2112"/>
    <w:rsid w:val="00BD7FD7"/>
    <w:rsid w:val="00BE3748"/>
    <w:rsid w:val="00BF0794"/>
    <w:rsid w:val="00BF4705"/>
    <w:rsid w:val="00BF7189"/>
    <w:rsid w:val="00BF7F58"/>
    <w:rsid w:val="00C02FD6"/>
    <w:rsid w:val="00C033C2"/>
    <w:rsid w:val="00C061FA"/>
    <w:rsid w:val="00C116DE"/>
    <w:rsid w:val="00C231A8"/>
    <w:rsid w:val="00C24CC9"/>
    <w:rsid w:val="00C279B3"/>
    <w:rsid w:val="00C301C8"/>
    <w:rsid w:val="00C34A0D"/>
    <w:rsid w:val="00C40FFC"/>
    <w:rsid w:val="00C429D6"/>
    <w:rsid w:val="00C44E94"/>
    <w:rsid w:val="00C62625"/>
    <w:rsid w:val="00C63D55"/>
    <w:rsid w:val="00C645A1"/>
    <w:rsid w:val="00C74A1A"/>
    <w:rsid w:val="00C76577"/>
    <w:rsid w:val="00C77B72"/>
    <w:rsid w:val="00C817C6"/>
    <w:rsid w:val="00C8326B"/>
    <w:rsid w:val="00C95F81"/>
    <w:rsid w:val="00C965C2"/>
    <w:rsid w:val="00CC04C1"/>
    <w:rsid w:val="00CD049F"/>
    <w:rsid w:val="00CD153F"/>
    <w:rsid w:val="00CD6529"/>
    <w:rsid w:val="00CE6008"/>
    <w:rsid w:val="00D14D0A"/>
    <w:rsid w:val="00D233F1"/>
    <w:rsid w:val="00D41580"/>
    <w:rsid w:val="00D5158B"/>
    <w:rsid w:val="00D65860"/>
    <w:rsid w:val="00D71237"/>
    <w:rsid w:val="00D80E23"/>
    <w:rsid w:val="00D817D5"/>
    <w:rsid w:val="00D83BC7"/>
    <w:rsid w:val="00D850F4"/>
    <w:rsid w:val="00DB5A8B"/>
    <w:rsid w:val="00DB7DCC"/>
    <w:rsid w:val="00DC19B0"/>
    <w:rsid w:val="00DC23F5"/>
    <w:rsid w:val="00DC2474"/>
    <w:rsid w:val="00DD164F"/>
    <w:rsid w:val="00DD5C99"/>
    <w:rsid w:val="00DD77CB"/>
    <w:rsid w:val="00DE0B4B"/>
    <w:rsid w:val="00DE26E4"/>
    <w:rsid w:val="00DF3B98"/>
    <w:rsid w:val="00E0569C"/>
    <w:rsid w:val="00E20171"/>
    <w:rsid w:val="00E25B30"/>
    <w:rsid w:val="00E3126F"/>
    <w:rsid w:val="00E357DD"/>
    <w:rsid w:val="00E43F5B"/>
    <w:rsid w:val="00E460E3"/>
    <w:rsid w:val="00E50777"/>
    <w:rsid w:val="00E62276"/>
    <w:rsid w:val="00E62295"/>
    <w:rsid w:val="00E737D0"/>
    <w:rsid w:val="00E77C4F"/>
    <w:rsid w:val="00E87FCD"/>
    <w:rsid w:val="00E973E0"/>
    <w:rsid w:val="00EA2FEA"/>
    <w:rsid w:val="00EA759B"/>
    <w:rsid w:val="00EB523F"/>
    <w:rsid w:val="00EB5834"/>
    <w:rsid w:val="00EC031B"/>
    <w:rsid w:val="00EC0AA1"/>
    <w:rsid w:val="00EC72BF"/>
    <w:rsid w:val="00ED4C84"/>
    <w:rsid w:val="00EE0EC7"/>
    <w:rsid w:val="00EE6874"/>
    <w:rsid w:val="00EF7DF8"/>
    <w:rsid w:val="00F30D39"/>
    <w:rsid w:val="00F513B2"/>
    <w:rsid w:val="00F758FD"/>
    <w:rsid w:val="00F8386B"/>
    <w:rsid w:val="00F9214E"/>
    <w:rsid w:val="00F928DA"/>
    <w:rsid w:val="00FB4650"/>
    <w:rsid w:val="00FC15A5"/>
    <w:rsid w:val="00FE30BE"/>
    <w:rsid w:val="00FE44EC"/>
    <w:rsid w:val="00FE630D"/>
    <w:rsid w:val="00FF26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ED2AF48"/>
  <w14:defaultImageDpi w14:val="330"/>
  <w15:docId w15:val="{E7DB3650-AED1-40C0-B52D-77DA1F96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AF0AC2"/>
    <w:pPr>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123A8A"/>
    <w:pPr>
      <w:keepNext w:val="0"/>
      <w:keepLines w:val="0"/>
      <w:framePr w:hSpace="141" w:wrap="around" w:vAnchor="text" w:hAnchor="text" w:y="1"/>
      <w:spacing w:before="0" w:after="0" w:line="240" w:lineRule="exact"/>
      <w:suppressOverlap/>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framePr w:wrap="around"/>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AF0AC2"/>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A62C16"/>
    <w:rPr>
      <w:color w:val="808080"/>
    </w:rPr>
  </w:style>
  <w:style w:type="paragraph" w:styleId="berarbeitung">
    <w:name w:val="Revision"/>
    <w:hidden/>
    <w:uiPriority w:val="99"/>
    <w:semiHidden/>
    <w:rsid w:val="00BF7F58"/>
  </w:style>
  <w:style w:type="table" w:customStyle="1" w:styleId="Tabellenraster1">
    <w:name w:val="Tabellenraster1"/>
    <w:basedOn w:val="NormaleTabelle"/>
    <w:next w:val="Tabellenraster"/>
    <w:uiPriority w:val="59"/>
    <w:rsid w:val="00CE600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51ED8"/>
    <w:rPr>
      <w:color w:val="00B0F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96434">
      <w:bodyDiv w:val="1"/>
      <w:marLeft w:val="0"/>
      <w:marRight w:val="0"/>
      <w:marTop w:val="0"/>
      <w:marBottom w:val="0"/>
      <w:divBdr>
        <w:top w:val="none" w:sz="0" w:space="0" w:color="auto"/>
        <w:left w:val="none" w:sz="0" w:space="0" w:color="auto"/>
        <w:bottom w:val="none" w:sz="0" w:space="0" w:color="auto"/>
        <w:right w:val="none" w:sz="0" w:space="0" w:color="auto"/>
      </w:divBdr>
      <w:divsChild>
        <w:div w:id="163860950">
          <w:marLeft w:val="547"/>
          <w:marRight w:val="0"/>
          <w:marTop w:val="0"/>
          <w:marBottom w:val="0"/>
          <w:divBdr>
            <w:top w:val="none" w:sz="0" w:space="0" w:color="auto"/>
            <w:left w:val="none" w:sz="0" w:space="0" w:color="auto"/>
            <w:bottom w:val="none" w:sz="0" w:space="0" w:color="auto"/>
            <w:right w:val="none" w:sz="0" w:space="0" w:color="auto"/>
          </w:divBdr>
        </w:div>
      </w:divsChild>
    </w:div>
    <w:div w:id="928002104">
      <w:bodyDiv w:val="1"/>
      <w:marLeft w:val="0"/>
      <w:marRight w:val="0"/>
      <w:marTop w:val="0"/>
      <w:marBottom w:val="0"/>
      <w:divBdr>
        <w:top w:val="none" w:sz="0" w:space="0" w:color="auto"/>
        <w:left w:val="none" w:sz="0" w:space="0" w:color="auto"/>
        <w:bottom w:val="none" w:sz="0" w:space="0" w:color="auto"/>
        <w:right w:val="none" w:sz="0" w:space="0" w:color="auto"/>
      </w:divBdr>
      <w:divsChild>
        <w:div w:id="1546916423">
          <w:marLeft w:val="547"/>
          <w:marRight w:val="0"/>
          <w:marTop w:val="0"/>
          <w:marBottom w:val="0"/>
          <w:divBdr>
            <w:top w:val="none" w:sz="0" w:space="0" w:color="auto"/>
            <w:left w:val="none" w:sz="0" w:space="0" w:color="auto"/>
            <w:bottom w:val="none" w:sz="0" w:space="0" w:color="auto"/>
            <w:right w:val="none" w:sz="0" w:space="0" w:color="auto"/>
          </w:divBdr>
        </w:div>
      </w:divsChild>
    </w:div>
    <w:div w:id="1116602528">
      <w:bodyDiv w:val="1"/>
      <w:marLeft w:val="0"/>
      <w:marRight w:val="0"/>
      <w:marTop w:val="0"/>
      <w:marBottom w:val="0"/>
      <w:divBdr>
        <w:top w:val="none" w:sz="0" w:space="0" w:color="auto"/>
        <w:left w:val="none" w:sz="0" w:space="0" w:color="auto"/>
        <w:bottom w:val="none" w:sz="0" w:space="0" w:color="auto"/>
        <w:right w:val="none" w:sz="0" w:space="0" w:color="auto"/>
      </w:divBdr>
    </w:div>
    <w:div w:id="1333413040">
      <w:bodyDiv w:val="1"/>
      <w:marLeft w:val="0"/>
      <w:marRight w:val="0"/>
      <w:marTop w:val="0"/>
      <w:marBottom w:val="0"/>
      <w:divBdr>
        <w:top w:val="none" w:sz="0" w:space="0" w:color="auto"/>
        <w:left w:val="none" w:sz="0" w:space="0" w:color="auto"/>
        <w:bottom w:val="none" w:sz="0" w:space="0" w:color="auto"/>
        <w:right w:val="none" w:sz="0" w:space="0" w:color="auto"/>
      </w:divBdr>
      <w:divsChild>
        <w:div w:id="1981498188">
          <w:marLeft w:val="547"/>
          <w:marRight w:val="0"/>
          <w:marTop w:val="0"/>
          <w:marBottom w:val="0"/>
          <w:divBdr>
            <w:top w:val="none" w:sz="0" w:space="0" w:color="auto"/>
            <w:left w:val="none" w:sz="0" w:space="0" w:color="auto"/>
            <w:bottom w:val="none" w:sz="0" w:space="0" w:color="auto"/>
            <w:right w:val="none" w:sz="0" w:space="0" w:color="auto"/>
          </w:divBdr>
        </w:div>
      </w:divsChild>
    </w:div>
    <w:div w:id="1540625248">
      <w:bodyDiv w:val="1"/>
      <w:marLeft w:val="0"/>
      <w:marRight w:val="0"/>
      <w:marTop w:val="0"/>
      <w:marBottom w:val="0"/>
      <w:divBdr>
        <w:top w:val="none" w:sz="0" w:space="0" w:color="auto"/>
        <w:left w:val="none" w:sz="0" w:space="0" w:color="auto"/>
        <w:bottom w:val="none" w:sz="0" w:space="0" w:color="auto"/>
        <w:right w:val="none" w:sz="0" w:space="0" w:color="auto"/>
      </w:divBdr>
      <w:divsChild>
        <w:div w:id="34544384">
          <w:marLeft w:val="547"/>
          <w:marRight w:val="0"/>
          <w:marTop w:val="0"/>
          <w:marBottom w:val="0"/>
          <w:divBdr>
            <w:top w:val="none" w:sz="0" w:space="0" w:color="auto"/>
            <w:left w:val="none" w:sz="0" w:space="0" w:color="auto"/>
            <w:bottom w:val="none" w:sz="0" w:space="0" w:color="auto"/>
            <w:right w:val="none" w:sz="0" w:space="0" w:color="auto"/>
          </w:divBdr>
        </w:div>
      </w:divsChild>
    </w:div>
    <w:div w:id="16059162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5521C-BA2B-4F1A-A070-D46045E5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2086</Words>
  <Characters>13142</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profilinstaller</cp:lastModifiedBy>
  <cp:revision>134</cp:revision>
  <cp:lastPrinted>2016-12-13T16:48:00Z</cp:lastPrinted>
  <dcterms:created xsi:type="dcterms:W3CDTF">2018-08-20T07:29:00Z</dcterms:created>
  <dcterms:modified xsi:type="dcterms:W3CDTF">2018-10-30T12:33:00Z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